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76" w:beforeAutospacing="0" w:after="76" w:afterAutospacing="0"/>
        <w:ind w:left="-362" w:right="-362" w:firstLine="0"/>
        <w:jc w:val="center"/>
        <w:rPr>
          <w:rStyle w:val="11"/>
          <w:rFonts w:ascii="宋体" w:hAnsi="宋体" w:eastAsia="宋体" w:cs="宋体"/>
          <w:b/>
          <w:bCs/>
          <w:i w:val="0"/>
          <w:iCs w:val="0"/>
          <w:caps w:val="0"/>
          <w:color w:val="auto"/>
          <w:spacing w:val="0"/>
          <w:sz w:val="72"/>
          <w:szCs w:val="72"/>
          <w:shd w:val="clear" w:fill="FFFFFF"/>
        </w:rPr>
      </w:pP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ascii="宋体" w:hAnsi="宋体" w:eastAsia="宋体" w:cs="宋体"/>
          <w:b/>
          <w:bCs/>
          <w:i w:val="0"/>
          <w:iCs w:val="0"/>
          <w:caps w:val="0"/>
          <w:color w:val="auto"/>
          <w:spacing w:val="0"/>
          <w:sz w:val="72"/>
          <w:szCs w:val="72"/>
          <w:shd w:val="clear" w:fill="FFFFFF"/>
        </w:rPr>
        <w:t>福建省政府采购</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72"/>
          <w:szCs w:val="72"/>
          <w:shd w:val="clear" w:fill="FFFFFF"/>
        </w:rPr>
        <w:t>货物和服务项目</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72"/>
          <w:szCs w:val="72"/>
          <w:shd w:val="clear" w:fill="FFFFFF"/>
          <w:lang w:eastAsia="zh-CN"/>
        </w:rPr>
        <w:t>预公告</w:t>
      </w:r>
      <w:r>
        <w:rPr>
          <w:rStyle w:val="11"/>
          <w:rFonts w:hint="eastAsia" w:ascii="宋体" w:hAnsi="宋体" w:eastAsia="宋体" w:cs="宋体"/>
          <w:b/>
          <w:bCs/>
          <w:i w:val="0"/>
          <w:iCs w:val="0"/>
          <w:caps w:val="0"/>
          <w:color w:val="auto"/>
          <w:spacing w:val="0"/>
          <w:sz w:val="72"/>
          <w:szCs w:val="72"/>
          <w:shd w:val="clear" w:fill="FFFFFF"/>
        </w:rPr>
        <w:t>公开招标文件</w:t>
      </w:r>
    </w:p>
    <w:p>
      <w:pPr>
        <w:pStyle w:val="8"/>
        <w:keepNext w:val="0"/>
        <w:keepLines w:val="0"/>
        <w:widowControl/>
        <w:suppressLineNumbers w:val="0"/>
        <w:spacing w:before="76" w:beforeAutospacing="0" w:after="76" w:afterAutospacing="0"/>
        <w:ind w:right="-362"/>
        <w:rPr>
          <w:color w:val="auto"/>
        </w:rPr>
      </w:pPr>
      <w:r>
        <w:rPr>
          <w:rStyle w:val="11"/>
          <w:rFonts w:hint="eastAsia" w:ascii="宋体" w:hAnsi="宋体" w:eastAsia="宋体" w:cs="宋体"/>
          <w:b/>
          <w:bCs/>
          <w:i w:val="0"/>
          <w:iCs w:val="0"/>
          <w:caps w:val="0"/>
          <w:color w:val="auto"/>
          <w:spacing w:val="0"/>
          <w:sz w:val="72"/>
          <w:szCs w:val="72"/>
          <w:shd w:val="clear" w:fill="FFFFFF"/>
        </w:rPr>
        <w:t xml:space="preserve">    </w:t>
      </w:r>
    </w:p>
    <w:p>
      <w:pPr>
        <w:pStyle w:val="8"/>
        <w:keepNext w:val="0"/>
        <w:keepLines w:val="0"/>
        <w:widowControl/>
        <w:suppressLineNumbers w:val="0"/>
        <w:spacing w:before="76" w:beforeAutospacing="0" w:after="76" w:afterAutospacing="0"/>
        <w:ind w:left="-362" w:right="-362" w:firstLine="0"/>
        <w:jc w:val="center"/>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30"/>
          <w:szCs w:val="30"/>
          <w:shd w:val="clear" w:fill="FFFFFF"/>
        </w:rPr>
        <w:t> </w:t>
      </w:r>
    </w:p>
    <w:p>
      <w:pPr>
        <w:pStyle w:val="8"/>
        <w:keepNext w:val="0"/>
        <w:keepLines w:val="0"/>
        <w:widowControl/>
        <w:suppressLineNumbers w:val="0"/>
        <w:spacing w:before="76" w:beforeAutospacing="0" w:after="76" w:afterAutospacing="0"/>
        <w:ind w:right="-362"/>
        <w:jc w:val="center"/>
        <w:rPr>
          <w:color w:val="auto"/>
        </w:rPr>
      </w:pPr>
      <w:r>
        <w:rPr>
          <w:rStyle w:val="11"/>
          <w:rFonts w:hint="eastAsia" w:ascii="宋体" w:hAnsi="宋体" w:eastAsia="宋体" w:cs="宋体"/>
          <w:b/>
          <w:bCs/>
          <w:i w:val="0"/>
          <w:iCs w:val="0"/>
          <w:caps w:val="0"/>
          <w:color w:val="auto"/>
          <w:spacing w:val="0"/>
          <w:sz w:val="30"/>
          <w:szCs w:val="30"/>
          <w:shd w:val="clear" w:fill="FFFFFF"/>
        </w:rPr>
        <w:t>项目名称：</w:t>
      </w:r>
      <w:r>
        <w:rPr>
          <w:rFonts w:hint="eastAsia" w:ascii="宋体" w:hAnsi="宋体" w:eastAsia="宋体" w:cs="宋体"/>
          <w:b/>
          <w:bCs/>
          <w:i w:val="0"/>
          <w:iCs w:val="0"/>
          <w:caps w:val="0"/>
          <w:color w:val="auto"/>
          <w:spacing w:val="0"/>
          <w:sz w:val="30"/>
          <w:szCs w:val="30"/>
          <w:shd w:val="clear" w:fill="FFFFFF"/>
        </w:rPr>
        <w:t>宁德市人民警察训练基地信息化建设项目</w:t>
      </w:r>
    </w:p>
    <w:p>
      <w:pPr>
        <w:pStyle w:val="8"/>
        <w:keepNext w:val="0"/>
        <w:keepLines w:val="0"/>
        <w:widowControl/>
        <w:suppressLineNumbers w:val="0"/>
        <w:spacing w:before="76" w:beforeAutospacing="0" w:after="76" w:afterAutospacing="0"/>
        <w:ind w:left="-362" w:right="-362" w:firstLine="0"/>
        <w:jc w:val="center"/>
        <w:rPr>
          <w:color w:val="auto"/>
        </w:rPr>
      </w:pPr>
    </w:p>
    <w:p>
      <w:pPr>
        <w:pStyle w:val="8"/>
        <w:keepNext w:val="0"/>
        <w:keepLines w:val="0"/>
        <w:widowControl/>
        <w:suppressLineNumbers w:val="0"/>
        <w:spacing w:before="76" w:beforeAutospacing="0" w:after="76" w:afterAutospacing="0"/>
        <w:ind w:right="-362"/>
        <w:jc w:val="center"/>
        <w:rPr>
          <w:color w:val="auto"/>
        </w:rPr>
      </w:pPr>
      <w:r>
        <w:rPr>
          <w:rStyle w:val="11"/>
          <w:rFonts w:hint="eastAsia" w:ascii="宋体" w:hAnsi="宋体" w:eastAsia="宋体" w:cs="宋体"/>
          <w:b/>
          <w:bCs/>
          <w:i w:val="0"/>
          <w:iCs w:val="0"/>
          <w:caps w:val="0"/>
          <w:color w:val="auto"/>
          <w:spacing w:val="0"/>
          <w:sz w:val="30"/>
          <w:szCs w:val="30"/>
          <w:shd w:val="clear" w:fill="FFFFFF"/>
        </w:rPr>
        <w:t>备案编号：</w:t>
      </w:r>
      <w:r>
        <w:rPr>
          <w:rFonts w:hint="eastAsia" w:ascii="宋体" w:hAnsi="宋体" w:eastAsia="宋体" w:cs="宋体"/>
          <w:b/>
          <w:bCs/>
          <w:i w:val="0"/>
          <w:iCs w:val="0"/>
          <w:caps w:val="0"/>
          <w:color w:val="auto"/>
          <w:spacing w:val="0"/>
          <w:sz w:val="30"/>
          <w:szCs w:val="30"/>
          <w:shd w:val="clear" w:fill="FFFFFF"/>
        </w:rPr>
        <w:t>J-GAJ-GK-202205-B0362-IDN</w:t>
      </w:r>
    </w:p>
    <w:p>
      <w:pPr>
        <w:pStyle w:val="8"/>
        <w:keepNext w:val="0"/>
        <w:keepLines w:val="0"/>
        <w:widowControl/>
        <w:suppressLineNumbers w:val="0"/>
        <w:spacing w:before="76" w:beforeAutospacing="0" w:after="76" w:afterAutospacing="0"/>
        <w:ind w:left="-362" w:right="-362" w:firstLine="0"/>
        <w:jc w:val="center"/>
        <w:rPr>
          <w:color w:val="auto"/>
        </w:rPr>
      </w:pPr>
    </w:p>
    <w:p>
      <w:pPr>
        <w:pStyle w:val="8"/>
        <w:keepNext w:val="0"/>
        <w:keepLines w:val="0"/>
        <w:widowControl/>
        <w:suppressLineNumbers w:val="0"/>
        <w:spacing w:before="76" w:beforeAutospacing="0" w:after="76" w:afterAutospacing="0"/>
        <w:ind w:right="-362"/>
        <w:jc w:val="center"/>
        <w:rPr>
          <w:color w:val="auto"/>
        </w:rPr>
      </w:pPr>
      <w:r>
        <w:rPr>
          <w:rStyle w:val="11"/>
          <w:rFonts w:hint="eastAsia" w:ascii="宋体" w:hAnsi="宋体" w:eastAsia="宋体" w:cs="宋体"/>
          <w:b/>
          <w:bCs/>
          <w:i w:val="0"/>
          <w:iCs w:val="0"/>
          <w:caps w:val="0"/>
          <w:color w:val="auto"/>
          <w:spacing w:val="0"/>
          <w:sz w:val="30"/>
          <w:szCs w:val="30"/>
          <w:shd w:val="clear" w:fill="FFFFFF"/>
        </w:rPr>
        <w:t>项目编号：</w:t>
      </w:r>
      <w:r>
        <w:rPr>
          <w:rFonts w:hint="eastAsia" w:ascii="宋体" w:hAnsi="宋体" w:eastAsia="宋体" w:cs="宋体"/>
          <w:b/>
          <w:bCs/>
          <w:i w:val="0"/>
          <w:iCs w:val="0"/>
          <w:caps w:val="0"/>
          <w:color w:val="auto"/>
          <w:spacing w:val="0"/>
          <w:sz w:val="30"/>
          <w:szCs w:val="30"/>
          <w:shd w:val="clear" w:fill="FFFFFF"/>
        </w:rPr>
        <w:t>[350900]HF[GK]2022002</w:t>
      </w:r>
      <w:r>
        <w:rPr>
          <w:rStyle w:val="11"/>
          <w:rFonts w:hint="eastAsia" w:ascii="宋体" w:hAnsi="宋体" w:eastAsia="宋体" w:cs="宋体"/>
          <w:b/>
          <w:bCs/>
          <w:i w:val="0"/>
          <w:iCs w:val="0"/>
          <w:caps w:val="0"/>
          <w:color w:val="auto"/>
          <w:spacing w:val="0"/>
          <w:sz w:val="30"/>
          <w:szCs w:val="30"/>
          <w:shd w:val="clear" w:fill="FFFFFF"/>
        </w:rPr>
        <w:br w:type="textWrapping"/>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2" w:right="-362" w:firstLine="0"/>
        <w:jc w:val="left"/>
        <w:rPr>
          <w:rFonts w:hint="eastAsia" w:ascii="微软雅黑" w:hAnsi="微软雅黑" w:eastAsia="微软雅黑" w:cs="微软雅黑"/>
          <w:i w:val="0"/>
          <w:iCs w:val="0"/>
          <w:caps w:val="0"/>
          <w:color w:val="auto"/>
          <w:spacing w:val="0"/>
          <w:sz w:val="19"/>
          <w:szCs w:val="19"/>
        </w:rPr>
      </w:pPr>
      <w:r>
        <w:rPr>
          <w:rFonts w:hint="eastAsia" w:ascii="微软雅黑" w:hAnsi="微软雅黑" w:eastAsia="微软雅黑" w:cs="微软雅黑"/>
          <w:i w:val="0"/>
          <w:iCs w:val="0"/>
          <w:caps w:val="0"/>
          <w:color w:val="auto"/>
          <w:spacing w:val="0"/>
          <w:kern w:val="0"/>
          <w:sz w:val="19"/>
          <w:szCs w:val="19"/>
          <w:shd w:val="clear" w:fill="FFFFFF"/>
          <w:lang w:val="en-US" w:eastAsia="zh-CN" w:bidi="ar"/>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7"/>
          <w:szCs w:val="27"/>
          <w:shd w:val="clear" w:fill="FFFFFF"/>
        </w:rPr>
        <w:t>采购人：</w:t>
      </w:r>
      <w:r>
        <w:rPr>
          <w:rFonts w:hint="eastAsia" w:ascii="微软雅黑" w:hAnsi="微软雅黑" w:eastAsia="微软雅黑" w:cs="微软雅黑"/>
          <w:i w:val="0"/>
          <w:iCs w:val="0"/>
          <w:caps w:val="0"/>
          <w:color w:val="auto"/>
          <w:spacing w:val="0"/>
          <w:sz w:val="27"/>
          <w:szCs w:val="27"/>
          <w:shd w:val="clear" w:fill="FFFFFF"/>
        </w:rPr>
        <w:t> </w:t>
      </w:r>
      <w:r>
        <w:rPr>
          <w:rFonts w:hint="eastAsia" w:ascii="宋体" w:hAnsi="宋体" w:eastAsia="宋体" w:cs="宋体"/>
          <w:b/>
          <w:bCs/>
          <w:i w:val="0"/>
          <w:iCs w:val="0"/>
          <w:caps w:val="0"/>
          <w:color w:val="auto"/>
          <w:spacing w:val="0"/>
          <w:sz w:val="28"/>
          <w:szCs w:val="28"/>
          <w:shd w:val="clear" w:fill="FFFFFF"/>
        </w:rPr>
        <w:t>宁德市公安局</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8"/>
          <w:szCs w:val="28"/>
          <w:shd w:val="clear" w:fill="FFFFFF"/>
        </w:rPr>
        <w:t>代理机构：</w:t>
      </w:r>
      <w:r>
        <w:rPr>
          <w:rFonts w:hint="eastAsia" w:ascii="宋体" w:hAnsi="宋体" w:eastAsia="宋体" w:cs="宋体"/>
          <w:b/>
          <w:bCs/>
          <w:i w:val="0"/>
          <w:iCs w:val="0"/>
          <w:caps w:val="0"/>
          <w:color w:val="auto"/>
          <w:spacing w:val="0"/>
          <w:sz w:val="28"/>
          <w:szCs w:val="28"/>
          <w:shd w:val="clear" w:fill="FFFFFF"/>
        </w:rPr>
        <w:t>宁德市恒福招标有限公司</w:t>
      </w:r>
    </w:p>
    <w:p>
      <w:pPr>
        <w:pStyle w:val="8"/>
        <w:keepNext w:val="0"/>
        <w:keepLines w:val="0"/>
        <w:widowControl/>
        <w:suppressLineNumbers w:val="0"/>
        <w:spacing w:before="76" w:beforeAutospacing="0" w:after="76" w:afterAutospacing="0"/>
        <w:ind w:left="-362" w:right="-362" w:firstLine="0"/>
        <w:jc w:val="center"/>
        <w:rPr>
          <w:color w:val="auto"/>
        </w:rPr>
      </w:pPr>
      <w:r>
        <w:rPr>
          <w:rFonts w:hint="eastAsia" w:ascii="微软雅黑" w:hAnsi="微软雅黑" w:eastAsia="微软雅黑" w:cs="微软雅黑"/>
          <w:i w:val="0"/>
          <w:iCs w:val="0"/>
          <w:caps w:val="0"/>
          <w:color w:val="auto"/>
          <w:spacing w:val="0"/>
          <w:sz w:val="27"/>
          <w:szCs w:val="27"/>
          <w:shd w:val="clear" w:fill="FFFFFF"/>
        </w:rPr>
        <w:t> </w:t>
      </w:r>
    </w:p>
    <w:p>
      <w:pPr>
        <w:pStyle w:val="8"/>
        <w:keepNext w:val="0"/>
        <w:keepLines w:val="0"/>
        <w:widowControl/>
        <w:suppressLineNumbers w:val="0"/>
        <w:spacing w:before="76" w:beforeAutospacing="0" w:after="76" w:afterAutospacing="0" w:line="360" w:lineRule="atLeast"/>
        <w:ind w:left="-362" w:right="360" w:firstLine="0"/>
        <w:jc w:val="center"/>
        <w:rPr>
          <w:color w:val="auto"/>
        </w:rPr>
      </w:pPr>
      <w:r>
        <w:rPr>
          <w:rStyle w:val="11"/>
          <w:rFonts w:hint="eastAsia" w:ascii="宋体" w:hAnsi="宋体" w:eastAsia="宋体" w:cs="宋体"/>
          <w:b/>
          <w:bCs/>
          <w:i w:val="0"/>
          <w:iCs w:val="0"/>
          <w:caps w:val="0"/>
          <w:color w:val="auto"/>
          <w:spacing w:val="0"/>
          <w:sz w:val="28"/>
          <w:szCs w:val="28"/>
          <w:shd w:val="clear" w:fill="FFFFFF"/>
        </w:rPr>
        <w:t>2022年06月</w:t>
      </w:r>
    </w:p>
    <w:p>
      <w:pPr>
        <w:pStyle w:val="8"/>
        <w:keepNext w:val="0"/>
        <w:keepLines w:val="0"/>
        <w:widowControl/>
        <w:suppressLineNumbers w:val="0"/>
        <w:spacing w:before="76" w:beforeAutospacing="0" w:after="76" w:afterAutospacing="0"/>
        <w:ind w:left="-362" w:right="-362" w:firstLine="0"/>
        <w:jc w:val="center"/>
        <w:rPr>
          <w:rStyle w:val="11"/>
          <w:rFonts w:hint="eastAsia" w:ascii="宋体" w:hAnsi="宋体" w:eastAsia="宋体" w:cs="宋体"/>
          <w:b/>
          <w:bCs/>
          <w:i w:val="0"/>
          <w:iCs w:val="0"/>
          <w:caps w:val="0"/>
          <w:color w:val="auto"/>
          <w:spacing w:val="0"/>
          <w:sz w:val="31"/>
          <w:szCs w:val="31"/>
          <w:shd w:val="clear" w:fill="FFFFFF"/>
        </w:rPr>
        <w:sectPr>
          <w:pgSz w:w="11906" w:h="16838"/>
          <w:pgMar w:top="1440" w:right="1800" w:bottom="1440" w:left="1800" w:header="851" w:footer="992" w:gutter="0"/>
          <w:pgNumType w:fmt="decimal" w:start="1"/>
          <w:cols w:space="425" w:num="1"/>
          <w:docGrid w:type="lines" w:linePitch="312" w:charSpace="0"/>
        </w:sectPr>
      </w:pP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31"/>
          <w:szCs w:val="31"/>
          <w:shd w:val="clear" w:fill="FFFFFF"/>
        </w:rPr>
        <w:t>第一章</w:t>
      </w:r>
      <w:r>
        <w:rPr>
          <w:rStyle w:val="11"/>
          <w:rFonts w:hint="eastAsia" w:ascii="微软雅黑" w:hAnsi="微软雅黑" w:eastAsia="微软雅黑" w:cs="微软雅黑"/>
          <w:b/>
          <w:bCs/>
          <w:i w:val="0"/>
          <w:iCs w:val="0"/>
          <w:caps w:val="0"/>
          <w:color w:val="auto"/>
          <w:spacing w:val="0"/>
          <w:sz w:val="31"/>
          <w:szCs w:val="31"/>
          <w:shd w:val="clear" w:fill="FFFFFF"/>
        </w:rPr>
        <w:t>   </w:t>
      </w:r>
      <w:r>
        <w:rPr>
          <w:rStyle w:val="11"/>
          <w:rFonts w:hint="eastAsia" w:ascii="宋体" w:hAnsi="宋体" w:eastAsia="宋体" w:cs="宋体"/>
          <w:b/>
          <w:bCs/>
          <w:i w:val="0"/>
          <w:iCs w:val="0"/>
          <w:caps w:val="0"/>
          <w:color w:val="auto"/>
          <w:spacing w:val="0"/>
          <w:sz w:val="31"/>
          <w:szCs w:val="31"/>
          <w:shd w:val="clear" w:fill="FFFFFF"/>
        </w:rPr>
        <w:t>投标邀请</w:t>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采用</w:t>
      </w:r>
      <w:r>
        <w:rPr>
          <w:rFonts w:hint="eastAsia" w:ascii="宋体" w:hAnsi="宋体" w:eastAsia="宋体" w:cs="宋体"/>
          <w:i w:val="0"/>
          <w:iCs w:val="0"/>
          <w:caps w:val="0"/>
          <w:color w:val="auto"/>
          <w:spacing w:val="0"/>
          <w:sz w:val="24"/>
          <w:szCs w:val="24"/>
          <w:u w:val="single"/>
          <w:shd w:val="clear" w:fill="FFFFFF"/>
        </w:rPr>
        <w:t>公开招标方式</w:t>
      </w:r>
      <w:r>
        <w:rPr>
          <w:rFonts w:hint="eastAsia" w:ascii="宋体" w:hAnsi="宋体" w:eastAsia="宋体" w:cs="宋体"/>
          <w:i w:val="0"/>
          <w:iCs w:val="0"/>
          <w:caps w:val="0"/>
          <w:color w:val="auto"/>
          <w:spacing w:val="0"/>
          <w:sz w:val="24"/>
          <w:szCs w:val="24"/>
          <w:shd w:val="clear" w:fill="FFFFFF"/>
        </w:rPr>
        <w:t>组织</w:t>
      </w:r>
      <w:r>
        <w:rPr>
          <w:rFonts w:hint="eastAsia" w:ascii="宋体" w:hAnsi="宋体" w:eastAsia="宋体" w:cs="宋体"/>
          <w:i w:val="0"/>
          <w:iCs w:val="0"/>
          <w:caps w:val="0"/>
          <w:color w:val="auto"/>
          <w:spacing w:val="0"/>
          <w:sz w:val="24"/>
          <w:szCs w:val="24"/>
          <w:u w:val="none"/>
          <w:shd w:val="clear" w:fill="FFFFFF"/>
        </w:rPr>
        <w:t>宁德市人民警察训练基地信息化建设项目</w:t>
      </w:r>
      <w:r>
        <w:rPr>
          <w:rFonts w:hint="eastAsia" w:ascii="宋体" w:hAnsi="宋体" w:eastAsia="宋体" w:cs="宋体"/>
          <w:i w:val="0"/>
          <w:iCs w:val="0"/>
          <w:caps w:val="0"/>
          <w:color w:val="auto"/>
          <w:spacing w:val="0"/>
          <w:sz w:val="24"/>
          <w:szCs w:val="24"/>
          <w:shd w:val="clear" w:fill="FFFFFF"/>
        </w:rPr>
        <w:t>（以下简称：“本项目”）的政府采购活动，现邀请供应商参加投标。</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1、备案编号：</w:t>
      </w:r>
      <w:r>
        <w:rPr>
          <w:rFonts w:hint="eastAsia" w:ascii="宋体" w:hAnsi="宋体" w:eastAsia="宋体" w:cs="宋体"/>
          <w:i w:val="0"/>
          <w:iCs w:val="0"/>
          <w:caps w:val="0"/>
          <w:color w:val="auto"/>
          <w:spacing w:val="0"/>
          <w:sz w:val="24"/>
          <w:szCs w:val="24"/>
          <w:u w:val="single"/>
          <w:shd w:val="clear" w:fill="FFFFFF"/>
        </w:rPr>
        <w:t>J-GAJ-GK-202205-B0362-IDN</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2、项目编号：</w:t>
      </w:r>
      <w:r>
        <w:rPr>
          <w:rFonts w:hint="eastAsia" w:ascii="宋体" w:hAnsi="宋体" w:eastAsia="宋体" w:cs="宋体"/>
          <w:i w:val="0"/>
          <w:iCs w:val="0"/>
          <w:caps w:val="0"/>
          <w:color w:val="auto"/>
          <w:spacing w:val="0"/>
          <w:sz w:val="24"/>
          <w:szCs w:val="24"/>
          <w:u w:val="single"/>
          <w:shd w:val="clear" w:fill="FFFFFF"/>
        </w:rPr>
        <w:t>[350900]HF[GK]2022002</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3、预算金额、最高限价：详见《采购标的一览表》。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4、招标内容及要求：详见《采购标的一览表》及招标文件第五章。</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5、需要落实的政府采购政策：进口产品，不适用。节能产品，适用于（采购包1），按照最新一期节能清单执行。环境标志产品，适用于（采购包1），按照最新一期环境标志清单执行。信息安全产品，适用于（采购包1）。小型、微型企业符合财政部、工信部文件（财库〔2020〕46号），适用于（采购包1）。监狱企业，适用于（采购包1）。促进残疾人就业 ，适用于（采购包1）。信用记录，适用于（采购包1），按照下列规定执行：（1）投标人针对“信用记录查询结果”可自主提供证明材料，未提供该证明材料的不视为投标文件无效。（2）查询结果的审查：①由资格审查小组通过“信用中国”网站（www.creditchina.gov.cn）、中国政府采购网（www.cc gp.gov.cn）查询并打印投标人信用记录（以下简称：“资格审查小组的查询结果”）。若查询结果存在投标人应被拒绝参与政府采购活动相关信息的，其资格审查不合格。②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若本条款与招标文件中其他关于信用查询条款有矛盾的，以本条款为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6、投标人的资格要求</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6.1法定条件：符合政府采购法第二十二条第一款规定的条件。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6.2特定条件：</w:t>
      </w:r>
      <w:r>
        <w:rPr>
          <w:rFonts w:hint="eastAsia" w:ascii="宋体" w:hAnsi="宋体" w:eastAsia="宋体" w:cs="宋体"/>
          <w:i w:val="0"/>
          <w:iCs w:val="0"/>
          <w:caps w:val="0"/>
          <w:color w:val="auto"/>
          <w:spacing w:val="0"/>
          <w:sz w:val="24"/>
          <w:szCs w:val="24"/>
          <w:shd w:val="clear" w:fill="FFFFFF"/>
        </w:rPr>
        <w:br w:type="textWrapping"/>
      </w:r>
      <w:r>
        <w:rPr>
          <w:rStyle w:val="11"/>
          <w:rFonts w:hint="eastAsia" w:ascii="宋体" w:hAnsi="宋体" w:eastAsia="宋体" w:cs="宋体"/>
          <w:b/>
          <w:bCs/>
          <w:i w:val="0"/>
          <w:iCs w:val="0"/>
          <w:caps w:val="0"/>
          <w:color w:val="auto"/>
          <w:spacing w:val="0"/>
          <w:sz w:val="24"/>
          <w:szCs w:val="24"/>
          <w:shd w:val="clear" w:fill="FFFFFF"/>
        </w:rPr>
        <w:t>包：1</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87"/>
        <w:gridCol w:w="462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①具备履行合同所必需的设备:投标人提供办公场所的场地证明材料（属于自有产权的提供产权证复印件；非自有产权的提供场地租赁合同复印件，租赁期限不少于一年）； ②具备专业技术能力：提供有效期内的电子与智能化工程专业承包贰级及以上资质证书和负责本项目的主要人员的名单、联系电话及人员相关证书。</w:t>
            </w:r>
          </w:p>
        </w:tc>
      </w:tr>
    </w:tbl>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6.3是否接受联合体投标：不接受。</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※根据上述资格要求，投标文件中应提交的“投标人的资格及资信证明文件”详见招标文件第四章。</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7、招标文件的获取</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7.1、招标文件获取期限：详见招标公告或更正公告，若不一致，以更正公告为准。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1"/>
          <w:rFonts w:hint="eastAsia" w:ascii="宋体" w:hAnsi="宋体" w:eastAsia="宋体" w:cs="宋体"/>
          <w:b/>
          <w:bCs/>
          <w:i w:val="0"/>
          <w:iCs w:val="0"/>
          <w:caps w:val="0"/>
          <w:color w:val="auto"/>
          <w:spacing w:val="0"/>
          <w:sz w:val="24"/>
          <w:szCs w:val="24"/>
          <w:shd w:val="clear" w:fill="FFFFFF"/>
        </w:rPr>
        <w:t>投标将被拒绝。</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7.3、获取地点及方式：注册账号后，通过福建省政府采购网上公开信息系统以下载方式获取。</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7.4、招标文件售价：</w:t>
      </w:r>
      <w:r>
        <w:rPr>
          <w:rFonts w:hint="default" w:ascii="Times New Roman" w:hAnsi="Times New Roman" w:eastAsia="微软雅黑" w:cs="Times New Roman"/>
          <w:i w:val="0"/>
          <w:iCs w:val="0"/>
          <w:caps w:val="0"/>
          <w:color w:val="auto"/>
          <w:spacing w:val="0"/>
          <w:sz w:val="24"/>
          <w:szCs w:val="24"/>
          <w:shd w:val="clear" w:fill="FFFFFF"/>
        </w:rPr>
        <w:t>0</w:t>
      </w:r>
      <w:r>
        <w:rPr>
          <w:rFonts w:hint="eastAsia" w:ascii="宋体" w:hAnsi="宋体" w:eastAsia="宋体" w:cs="宋体"/>
          <w:i w:val="0"/>
          <w:iCs w:val="0"/>
          <w:caps w:val="0"/>
          <w:color w:val="auto"/>
          <w:spacing w:val="0"/>
          <w:sz w:val="24"/>
          <w:szCs w:val="24"/>
          <w:shd w:val="clear" w:fill="FFFFFF"/>
        </w:rPr>
        <w:t>元。</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8、投标截止</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8.1、投标截止时间：详见招标公告或更正公告，若不一致，以更正公告为准。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8.2、投标人应在投标截止时间前按照福建省政府采购网上公开信息系统设定的操作流程将电子投标文件上传至福建省政府采购网上公开信息系统，同时将</w:t>
      </w:r>
      <w:r>
        <w:rPr>
          <w:rStyle w:val="11"/>
          <w:rFonts w:hint="eastAsia" w:ascii="宋体" w:hAnsi="宋体" w:eastAsia="宋体" w:cs="宋体"/>
          <w:b/>
          <w:bCs/>
          <w:i w:val="0"/>
          <w:iCs w:val="0"/>
          <w:caps w:val="0"/>
          <w:color w:val="auto"/>
          <w:spacing w:val="0"/>
          <w:sz w:val="24"/>
          <w:szCs w:val="24"/>
          <w:shd w:val="clear" w:fill="FFFFFF"/>
        </w:rPr>
        <w:t>投标人的CA证书</w:t>
      </w:r>
      <w:r>
        <w:rPr>
          <w:rFonts w:hint="eastAsia" w:ascii="宋体" w:hAnsi="宋体" w:eastAsia="宋体" w:cs="宋体"/>
          <w:i w:val="0"/>
          <w:iCs w:val="0"/>
          <w:caps w:val="0"/>
          <w:color w:val="auto"/>
          <w:spacing w:val="0"/>
          <w:sz w:val="24"/>
          <w:szCs w:val="24"/>
          <w:shd w:val="clear" w:fill="FFFFFF"/>
        </w:rPr>
        <w:t>送达招标文件第一章第9条载明的地点，否则</w:t>
      </w:r>
      <w:r>
        <w:rPr>
          <w:rStyle w:val="11"/>
          <w:rFonts w:hint="eastAsia" w:ascii="宋体" w:hAnsi="宋体" w:eastAsia="宋体" w:cs="宋体"/>
          <w:b/>
          <w:bCs/>
          <w:i w:val="0"/>
          <w:iCs w:val="0"/>
          <w:caps w:val="0"/>
          <w:color w:val="auto"/>
          <w:spacing w:val="0"/>
          <w:sz w:val="24"/>
          <w:szCs w:val="24"/>
          <w:shd w:val="clear" w:fill="FFFFFF"/>
        </w:rPr>
        <w:t>投标将被拒绝。</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9、开标时间及地点：详见招标公告或更正公告，若不一致，以更正公告为准。</w:t>
      </w:r>
      <w:r>
        <w:rPr>
          <w:rStyle w:val="11"/>
          <w:rFonts w:hint="eastAsia" w:ascii="宋体" w:hAnsi="宋体" w:eastAsia="宋体" w:cs="宋体"/>
          <w:b/>
          <w:bCs/>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10、公告期限</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10.1、招标公告的公告期限：自财政部和福建省财政厅指定的政府采购信息发布媒体最先发布公告之日起</w:t>
      </w:r>
      <w:r>
        <w:rPr>
          <w:rFonts w:hint="default" w:ascii="Times New Roman" w:hAnsi="Times New Roman" w:eastAsia="微软雅黑" w:cs="Times New Roman"/>
          <w:i w:val="0"/>
          <w:iCs w:val="0"/>
          <w:caps w:val="0"/>
          <w:color w:val="auto"/>
          <w:spacing w:val="0"/>
          <w:sz w:val="24"/>
          <w:szCs w:val="24"/>
          <w:shd w:val="clear" w:fill="FFFFFF"/>
        </w:rPr>
        <w:t>5</w:t>
      </w:r>
      <w:r>
        <w:rPr>
          <w:rFonts w:hint="eastAsia" w:ascii="宋体" w:hAnsi="宋体" w:eastAsia="宋体" w:cs="宋体"/>
          <w:i w:val="0"/>
          <w:iCs w:val="0"/>
          <w:caps w:val="0"/>
          <w:color w:val="auto"/>
          <w:spacing w:val="0"/>
          <w:sz w:val="24"/>
          <w:szCs w:val="24"/>
          <w:shd w:val="clear" w:fill="FFFFFF"/>
        </w:rPr>
        <w:t>个工作日。</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10.2、招标文件公告期限：招标文件随同招标公告一并发布，其公告期限与招标公告的公告期限保持一致。</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11、采购人：宁德市公安局</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地址：蕉城南路67号</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联系方法：05932972337</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12、代理机构：宁德市恒福招标有限公司</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地址：宁德市蕉城区宁德市东桥经济开发区东湖御景10座803</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联系方法：0593-2822316</w:t>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附1：账户信息</w:t>
      </w:r>
    </w:p>
    <w:tbl>
      <w:tblPr>
        <w:tblStyle w:val="9"/>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6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Style w:val="11"/>
                <w:rFonts w:hint="eastAsia" w:ascii="宋体" w:hAnsi="宋体" w:eastAsia="宋体" w:cs="宋体"/>
                <w:b/>
                <w:bCs/>
                <w:color w:val="auto"/>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宁德市恒福招标有限公司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供应商在福建省政府采购网上公开信息系统获取招标文件后，根据其提示自行选择要缴交的投标保证金托管银行</w:t>
            </w:r>
            <w:r>
              <w:rPr>
                <w:rFonts w:hint="eastAsia" w:ascii="宋体" w:hAnsi="宋体" w:eastAsia="宋体" w:cs="宋体"/>
                <w:color w:val="auto"/>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Style w:val="11"/>
                <w:rFonts w:hint="eastAsia" w:ascii="宋体" w:hAnsi="宋体" w:eastAsia="宋体" w:cs="宋体"/>
                <w:b/>
                <w:bCs/>
                <w:color w:val="auto"/>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2、投标人在转账或电汇的凭证上应按照以下格式注明，以便核对：“（项目编号：</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）的投标保证金”。</w:t>
            </w:r>
          </w:p>
        </w:tc>
      </w:tr>
    </w:tbl>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附</w:t>
      </w:r>
      <w:r>
        <w:rPr>
          <w:rFonts w:hint="eastAsia" w:ascii="微软雅黑" w:hAnsi="微软雅黑" w:eastAsia="微软雅黑" w:cs="微软雅黑"/>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：采购标的一览表</w:t>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iCs w:val="0"/>
          <w:caps w:val="0"/>
          <w:color w:val="auto"/>
          <w:spacing w:val="0"/>
          <w:sz w:val="19"/>
          <w:szCs w:val="19"/>
          <w:shd w:val="clear" w:fill="FFFFFF"/>
        </w:rPr>
        <w:t>金额单位：人民币元</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29"/>
        <w:gridCol w:w="929"/>
        <w:gridCol w:w="1864"/>
        <w:gridCol w:w="929"/>
        <w:gridCol w:w="929"/>
        <w:gridCol w:w="929"/>
        <w:gridCol w:w="977"/>
        <w:gridCol w:w="9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9"/>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0"/>
              <w:gridCol w:w="1616"/>
              <w:gridCol w:w="691"/>
              <w:gridCol w:w="736"/>
              <w:gridCol w:w="181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其他计算机设备及软件</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1（项）</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11,806,519.0000</w:t>
                  </w:r>
                </w:p>
              </w:tc>
            </w:tr>
          </w:tbl>
          <w:p>
            <w:pPr>
              <w:jc w:val="center"/>
              <w:rPr>
                <w:color w:val="auto"/>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11806519</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236000</w:t>
            </w:r>
          </w:p>
        </w:tc>
      </w:tr>
    </w:tbl>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31"/>
          <w:szCs w:val="31"/>
          <w:shd w:val="clear" w:fill="FFFFFF"/>
        </w:rPr>
        <w:t>第二章</w:t>
      </w:r>
      <w:r>
        <w:rPr>
          <w:rStyle w:val="11"/>
          <w:rFonts w:hint="eastAsia" w:ascii="微软雅黑" w:hAnsi="微软雅黑" w:eastAsia="微软雅黑" w:cs="微软雅黑"/>
          <w:b/>
          <w:bCs/>
          <w:i w:val="0"/>
          <w:iCs w:val="0"/>
          <w:caps w:val="0"/>
          <w:color w:val="auto"/>
          <w:spacing w:val="0"/>
          <w:sz w:val="31"/>
          <w:szCs w:val="31"/>
          <w:shd w:val="clear" w:fill="FFFFFF"/>
        </w:rPr>
        <w:t>   </w:t>
      </w:r>
      <w:r>
        <w:rPr>
          <w:rStyle w:val="11"/>
          <w:rFonts w:hint="eastAsia" w:ascii="宋体" w:hAnsi="宋体" w:eastAsia="宋体" w:cs="宋体"/>
          <w:b/>
          <w:bCs/>
          <w:i w:val="0"/>
          <w:iCs w:val="0"/>
          <w:caps w:val="0"/>
          <w:color w:val="auto"/>
          <w:spacing w:val="0"/>
          <w:sz w:val="31"/>
          <w:szCs w:val="31"/>
          <w:shd w:val="clear" w:fill="FFFFFF"/>
        </w:rPr>
        <w:t>投标人须知前附表（表1、</w:t>
      </w:r>
      <w:r>
        <w:rPr>
          <w:rStyle w:val="11"/>
          <w:rFonts w:hint="default" w:ascii="Times New Roman" w:hAnsi="Times New Roman" w:eastAsia="微软雅黑" w:cs="Times New Roman"/>
          <w:b/>
          <w:bCs/>
          <w:i w:val="0"/>
          <w:iCs w:val="0"/>
          <w:caps w:val="0"/>
          <w:color w:val="auto"/>
          <w:spacing w:val="0"/>
          <w:sz w:val="31"/>
          <w:szCs w:val="31"/>
          <w:shd w:val="clear" w:fill="FFFFFF"/>
        </w:rPr>
        <w:t>2</w:t>
      </w:r>
      <w:r>
        <w:rPr>
          <w:rStyle w:val="11"/>
          <w:rFonts w:hint="eastAsia" w:ascii="宋体" w:hAnsi="宋体" w:eastAsia="宋体" w:cs="宋体"/>
          <w:b/>
          <w:bCs/>
          <w:i w:val="0"/>
          <w:iCs w:val="0"/>
          <w:caps w:val="0"/>
          <w:color w:val="auto"/>
          <w:spacing w:val="0"/>
          <w:sz w:val="31"/>
          <w:szCs w:val="31"/>
          <w:shd w:val="clear" w:fill="FFFFFF"/>
        </w:rPr>
        <w:t>）</w:t>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240" w:afterAutospacing="0"/>
        <w:ind w:left="-362" w:right="-362" w:firstLine="0"/>
        <w:jc w:val="center"/>
        <w:rPr>
          <w:color w:val="auto"/>
        </w:rPr>
      </w:pPr>
      <w:r>
        <w:rPr>
          <w:rStyle w:val="11"/>
          <w:rFonts w:hint="eastAsia" w:ascii="宋体" w:hAnsi="宋体" w:eastAsia="宋体" w:cs="宋体"/>
          <w:b/>
          <w:bCs/>
          <w:i w:val="0"/>
          <w:iCs w:val="0"/>
          <w:caps w:val="0"/>
          <w:color w:val="auto"/>
          <w:spacing w:val="0"/>
          <w:sz w:val="19"/>
          <w:szCs w:val="19"/>
          <w:shd w:val="clear" w:fill="FFFFFF"/>
        </w:rPr>
        <w:t>一、投标人须知前附表1</w:t>
      </w:r>
    </w:p>
    <w:tbl>
      <w:tblPr>
        <w:tblStyle w:val="9"/>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29"/>
        <w:gridCol w:w="1504"/>
        <w:gridCol w:w="693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Style w:val="11"/>
                <w:rFonts w:hint="eastAsia" w:ascii="宋体" w:hAnsi="宋体" w:eastAsia="宋体" w:cs="宋体"/>
                <w:b/>
                <w:bCs/>
                <w:color w:val="auto"/>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项号</w:t>
            </w:r>
          </w:p>
        </w:tc>
        <w:tc>
          <w:tcPr>
            <w:tcW w:w="108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招标文件</w:t>
            </w:r>
          </w:p>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（第三章）</w:t>
            </w:r>
          </w:p>
        </w:tc>
        <w:tc>
          <w:tcPr>
            <w:tcW w:w="882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6.1</w:t>
            </w:r>
          </w:p>
        </w:tc>
        <w:tc>
          <w:tcPr>
            <w:tcW w:w="88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2</w:t>
            </w: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10.4</w:t>
            </w:r>
          </w:p>
        </w:tc>
        <w:tc>
          <w:tcPr>
            <w:tcW w:w="88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投标文件的份数：</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0</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0</w:t>
            </w:r>
            <w:r>
              <w:rPr>
                <w:rFonts w:hint="eastAsia" w:ascii="宋体" w:hAnsi="宋体" w:eastAsia="宋体" w:cs="宋体"/>
                <w:color w:val="auto"/>
                <w:spacing w:val="0"/>
                <w:sz w:val="24"/>
                <w:szCs w:val="24"/>
              </w:rPr>
              <w:t>份。</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（2）电子投标文件：详见投标人须知前附表2《关于电子招标投标活动的专门规定》。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3</w:t>
            </w: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88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是否允许中标人将本项目的非主体、非关键性工作进行分包：</w:t>
            </w:r>
          </w:p>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4</w:t>
            </w:r>
          </w:p>
        </w:tc>
        <w:tc>
          <w:tcPr>
            <w:tcW w:w="15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88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5</w:t>
            </w: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12.1</w:t>
            </w:r>
          </w:p>
        </w:tc>
        <w:tc>
          <w:tcPr>
            <w:tcW w:w="88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本项目推荐项目包1中标候选人数为3家。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widowControl/>
              <w:suppressLineNumbers w:val="0"/>
              <w:wordWrap w:val="0"/>
              <w:spacing w:before="0" w:beforeAutospacing="0" w:after="0"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6</w:t>
            </w:r>
          </w:p>
        </w:tc>
        <w:tc>
          <w:tcPr>
            <w:tcW w:w="108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widowControl/>
              <w:suppressLineNumbers w:val="0"/>
              <w:spacing w:before="0" w:beforeAutospacing="0" w:after="0"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8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widowControl/>
              <w:suppressLineNumbers w:val="0"/>
              <w:wordWrap w:val="0"/>
              <w:spacing w:before="0" w:beforeAutospacing="0" w:after="0" w:afterAutospacing="0"/>
              <w:ind w:left="0" w:right="0" w:firstLine="0"/>
              <w:rPr>
                <w:color w:val="auto"/>
              </w:rPr>
            </w:pPr>
            <w:r>
              <w:rPr>
                <w:rStyle w:val="11"/>
                <w:rFonts w:hint="eastAsia" w:ascii="宋体" w:hAnsi="宋体" w:eastAsia="宋体" w:cs="宋体"/>
                <w:b/>
                <w:bCs/>
                <w:color w:val="auto"/>
                <w:spacing w:val="0"/>
                <w:sz w:val="24"/>
                <w:szCs w:val="24"/>
              </w:rPr>
              <w:t>本项目中标人的确定（以采购包为单位）：</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若有相同的最高得分，则其中投标总价低的投标人将被排序在前；若有相同的最高得分且投标报价相同的，则按技术部分得分从高到低顺序进行排列，技术部分得分最高的投标人将被排序在前</w:t>
            </w:r>
            <w:r>
              <w:rPr>
                <w:rFonts w:hint="eastAsia" w:ascii="宋体" w:hAnsi="宋体" w:eastAsia="宋体" w:cs="宋体"/>
                <w:color w:val="auto"/>
                <w:spacing w:val="0"/>
                <w:sz w:val="24"/>
                <w:szCs w:val="24"/>
              </w:rPr>
              <w:t>。</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（3）本项目确定的中标人家数：</w:t>
            </w:r>
            <w:r>
              <w:rPr>
                <w:rFonts w:hint="eastAsia" w:ascii="宋体" w:hAnsi="宋体" w:eastAsia="宋体" w:cs="宋体"/>
                <w:color w:val="auto"/>
                <w:spacing w:val="0"/>
              </w:rPr>
              <w:t>本项目确定项目包1中标人数为1家；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wordWrap w:val="0"/>
              <w:jc w:val="left"/>
              <w:rPr>
                <w:color w:val="auto"/>
              </w:rPr>
            </w:pPr>
            <w:r>
              <w:rPr>
                <w:rFonts w:hint="eastAsia" w:ascii="宋体" w:hAnsi="宋体" w:eastAsia="宋体" w:cs="宋体"/>
                <w:color w:val="auto"/>
                <w:spacing w:val="0"/>
                <w:kern w:val="0"/>
                <w:sz w:val="24"/>
                <w:szCs w:val="24"/>
                <w:lang w:val="en-US" w:eastAsia="zh-CN" w:bidi="ar"/>
              </w:rPr>
              <w:t>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wordWrap w:val="0"/>
              <w:jc w:val="left"/>
              <w:rPr>
                <w:color w:val="auto"/>
              </w:rPr>
            </w:pPr>
            <w:r>
              <w:rPr>
                <w:rFonts w:hint="eastAsia" w:ascii="宋体" w:hAnsi="宋体" w:eastAsia="宋体" w:cs="宋体"/>
                <w:color w:val="auto"/>
                <w:spacing w:val="0"/>
                <w:kern w:val="0"/>
                <w:sz w:val="24"/>
                <w:szCs w:val="24"/>
                <w:lang w:val="en-US" w:eastAsia="zh-CN" w:bidi="ar"/>
              </w:rPr>
              <w:t>13.2</w:t>
            </w:r>
          </w:p>
        </w:tc>
        <w:tc>
          <w:tcPr>
            <w:tcW w:w="880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wordWrap w:val="0"/>
              <w:jc w:val="left"/>
              <w:rPr>
                <w:color w:val="auto"/>
              </w:rPr>
            </w:pPr>
            <w:r>
              <w:rPr>
                <w:rStyle w:val="11"/>
                <w:rFonts w:hint="eastAsia" w:ascii="宋体" w:hAnsi="宋体" w:eastAsia="宋体" w:cs="宋体"/>
                <w:b/>
                <w:bCs/>
                <w:color w:val="auto"/>
                <w:kern w:val="0"/>
                <w:sz w:val="24"/>
                <w:szCs w:val="24"/>
                <w:lang w:val="en-US" w:eastAsia="zh-CN" w:bidi="ar"/>
              </w:rPr>
              <w:t>合同签订时限：自中标通知书发出之日起30个日历日内。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8</w:t>
            </w: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88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9</w:t>
            </w: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w:t>
            </w:r>
          </w:p>
          <w:p>
            <w:pPr>
              <w:pStyle w:val="8"/>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15.4</w:t>
            </w:r>
          </w:p>
          <w:p>
            <w:pPr>
              <w:pStyle w:val="8"/>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24"/>
                <w:szCs w:val="24"/>
              </w:rPr>
              <w:t> </w:t>
            </w:r>
          </w:p>
          <w:p>
            <w:pPr>
              <w:pStyle w:val="8"/>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24"/>
                <w:szCs w:val="24"/>
              </w:rPr>
              <w:t> </w:t>
            </w:r>
          </w:p>
        </w:tc>
        <w:tc>
          <w:tcPr>
            <w:tcW w:w="88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招标文件的质疑</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（2）质疑时效期间：应在依法获取招标文件之日起7个工作日内向宁德市恒福招标有限公司提出，依法获取招标文件的时间以福建省政府采购网上公开信息系统记载的为准。</w:t>
            </w:r>
          </w:p>
          <w:p>
            <w:pPr>
              <w:pStyle w:val="8"/>
              <w:keepNext w:val="0"/>
              <w:keepLines w:val="0"/>
              <w:widowControl/>
              <w:suppressLineNumbers w:val="0"/>
              <w:wordWrap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※除上述规定外，对招标文件提出的质疑还应符合招标文件第三章第</w:t>
            </w:r>
            <w:r>
              <w:rPr>
                <w:rStyle w:val="11"/>
                <w:rFonts w:hint="default" w:ascii="Times New Roman" w:hAnsi="Times New Roman" w:cs="Times New Roman"/>
                <w:b/>
                <w:bCs/>
                <w:color w:val="auto"/>
                <w:spacing w:val="0"/>
                <w:sz w:val="24"/>
                <w:szCs w:val="24"/>
              </w:rPr>
              <w:t>15.1</w:t>
            </w:r>
            <w:r>
              <w:rPr>
                <w:rStyle w:val="11"/>
                <w:rFonts w:hint="eastAsia" w:ascii="宋体" w:hAnsi="宋体" w:eastAsia="宋体" w:cs="宋体"/>
                <w:b/>
                <w:bCs/>
                <w:color w:val="auto"/>
                <w:spacing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w:t>
            </w: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16.1</w:t>
            </w:r>
          </w:p>
        </w:tc>
        <w:tc>
          <w:tcPr>
            <w:tcW w:w="88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监督管理部门：</w:t>
            </w:r>
            <w:r>
              <w:rPr>
                <w:rFonts w:hint="eastAsia" w:ascii="宋体" w:hAnsi="宋体" w:eastAsia="宋体" w:cs="宋体"/>
                <w:color w:val="auto"/>
                <w:spacing w:val="0"/>
                <w:sz w:val="24"/>
                <w:szCs w:val="24"/>
              </w:rPr>
              <w:t>宁德市财政局</w:t>
            </w:r>
            <w:r>
              <w:rPr>
                <w:rStyle w:val="11"/>
                <w:rFonts w:hint="eastAsia" w:ascii="宋体" w:hAnsi="宋体" w:eastAsia="宋体" w:cs="宋体"/>
                <w:b/>
                <w:bCs/>
                <w:color w:val="auto"/>
                <w:spacing w:val="0"/>
                <w:sz w:val="24"/>
                <w:szCs w:val="24"/>
                <w:u w:val="none"/>
              </w:rPr>
              <w:t>（仅限依法进行政府采购的货物或服务类项目）</w:t>
            </w:r>
            <w:r>
              <w:rPr>
                <w:rFonts w:hint="eastAsia" w:ascii="宋体" w:hAnsi="宋体" w:eastAsia="宋体" w:cs="宋体"/>
                <w:color w:val="auto"/>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11</w:t>
            </w: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18.1</w:t>
            </w:r>
          </w:p>
        </w:tc>
        <w:tc>
          <w:tcPr>
            <w:tcW w:w="88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财政部和福建省财政厅指定的政府采购信息发布媒体（以下简称：“指定媒体”）：</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（1）中国政府采购网，网址www.ccgp.gov.cn</w:t>
            </w:r>
            <w:r>
              <w:rPr>
                <w:color w:val="auto"/>
              </w:rPr>
              <w:t>。</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（2）中国政府采购网福建分网（福建省政府采购网），网址zfcg.czt.fujian.gov.cn</w:t>
            </w:r>
            <w:r>
              <w:rPr>
                <w:color w:val="auto"/>
              </w:rPr>
              <w:t>。</w:t>
            </w:r>
          </w:p>
          <w:p>
            <w:pPr>
              <w:pStyle w:val="8"/>
              <w:keepNext w:val="0"/>
              <w:keepLines w:val="0"/>
              <w:widowControl/>
              <w:suppressLineNumbers w:val="0"/>
              <w:wordWrap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w:t>
            </w: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19</w:t>
            </w:r>
          </w:p>
        </w:tc>
        <w:tc>
          <w:tcPr>
            <w:tcW w:w="88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其他事项：</w:t>
            </w:r>
          </w:p>
          <w:p>
            <w:pPr>
              <w:pStyle w:val="8"/>
              <w:keepNext w:val="0"/>
              <w:keepLines w:val="0"/>
              <w:widowControl/>
              <w:suppressLineNumbers w:val="0"/>
              <w:wordWrap w:val="0"/>
              <w:spacing w:before="0" w:beforeAutospacing="0" w:after="0" w:afterAutospacing="0"/>
              <w:ind w:left="0" w:right="0"/>
              <w:rPr>
                <w:color w:val="auto"/>
              </w:rPr>
            </w:pPr>
            <w:r>
              <w:rPr>
                <w:rStyle w:val="11"/>
                <w:rFonts w:hint="eastAsia" w:ascii="宋体" w:hAnsi="宋体" w:eastAsia="宋体" w:cs="宋体"/>
                <w:b/>
                <w:bCs/>
                <w:color w:val="auto"/>
                <w:spacing w:val="0"/>
                <w:sz w:val="24"/>
                <w:szCs w:val="24"/>
              </w:rPr>
              <w:t>(1)本项目代理服务费由</w:t>
            </w:r>
            <w:r>
              <w:rPr>
                <w:rFonts w:hint="eastAsia" w:ascii="宋体" w:hAnsi="宋体" w:eastAsia="宋体" w:cs="宋体"/>
                <w:b/>
                <w:bCs/>
                <w:color w:val="auto"/>
                <w:spacing w:val="0"/>
                <w:sz w:val="24"/>
                <w:szCs w:val="24"/>
              </w:rPr>
              <w:t>中标人</w:t>
            </w:r>
            <w:r>
              <w:rPr>
                <w:rStyle w:val="11"/>
                <w:rFonts w:hint="eastAsia" w:ascii="宋体" w:hAnsi="宋体" w:eastAsia="宋体" w:cs="宋体"/>
                <w:b/>
                <w:bCs/>
                <w:color w:val="auto"/>
                <w:spacing w:val="0"/>
                <w:sz w:val="24"/>
                <w:szCs w:val="24"/>
              </w:rPr>
              <w:t>支付。</w:t>
            </w:r>
            <w:r>
              <w:rPr>
                <w:rStyle w:val="11"/>
                <w:rFonts w:hint="eastAsia" w:ascii="宋体" w:hAnsi="宋体" w:eastAsia="宋体" w:cs="宋体"/>
                <w:b/>
                <w:bCs/>
                <w:color w:val="auto"/>
                <w:spacing w:val="0"/>
                <w:sz w:val="24"/>
                <w:szCs w:val="24"/>
              </w:rPr>
              <w:br w:type="textWrapping"/>
            </w:r>
            <w:r>
              <w:rPr>
                <w:rStyle w:val="11"/>
                <w:rFonts w:hint="eastAsia" w:ascii="宋体" w:hAnsi="宋体" w:eastAsia="宋体" w:cs="宋体"/>
                <w:b/>
                <w:bCs/>
                <w:color w:val="auto"/>
                <w:spacing w:val="0"/>
                <w:sz w:val="24"/>
                <w:szCs w:val="24"/>
              </w:rPr>
              <w:t>(2)其他：</w:t>
            </w:r>
            <w:r>
              <w:rPr>
                <w:rFonts w:hint="eastAsia" w:ascii="宋体" w:hAnsi="宋体" w:eastAsia="宋体" w:cs="宋体"/>
                <w:b/>
                <w:bCs/>
                <w:color w:val="auto"/>
                <w:spacing w:val="0"/>
                <w:sz w:val="24"/>
                <w:szCs w:val="24"/>
              </w:rPr>
              <w:t>1、100万元以下按中标总金额的1.5%收取，100万元～500万元，按中标总金额的1.1 %收取；500万元～1000万元，按中标总金额的0.8%收取；1000万元～5000万元，按中标总金额的0.5%收取；服务费按差额定率累进法计算。中标方在领取中标通知书时向我司一次性付清。具体收费要求以本条款为准，请投标人投标报价时予以充分考虑。2、根据闽财购函（2018）8号文件规定本项目评审专家劳务报酬等费用由采购人支付。3、质疑受理的其它要求：a.投标人递交质疑函时需提供本项目报名成功的页面截图（体现报名时间），否则将不被认定为潜在投标人，其质疑将不予受理。b.在法定质疑期内投标人须一次性提出针对同一采购程序环节的质疑，若投标人多次对同一采购程序环节提出质疑的，采购代理机构将不予以受理。c.质疑书应按宁德市政府采购质疑投诉有关文书范本的通知的政府采购投标人质疑函范本编制提供（下载网址：http://218.5.222.40/350900/article/9b8e96e277e341d2bc6beb55fdf99545/a5a8907c7c4211e9ae760cda411dbbf4/）。4、疫情防控：根据疫情防控需要，为保障采购人及潜在投标人的人身安全，开标当天的投标代表本人须持有在递交投标文件截止时间前48小时内核酸阴性证明、健康码绿码（体温正常范围内）、通信大数据行程卡中14天未到达或途径中、高风险地区的行程码。因投标人不能出具有效健康证明或体温不正常影响投标的所带来的一切后果由投标人自行承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08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24"/>
                <w:szCs w:val="24"/>
              </w:rPr>
              <w:t>     备注</w:t>
            </w:r>
          </w:p>
        </w:tc>
        <w:tc>
          <w:tcPr>
            <w:tcW w:w="8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widowControl/>
              <w:suppressLineNumbers w:val="0"/>
              <w:wordWrap w:val="0"/>
              <w:spacing w:before="0" w:beforeAutospacing="0" w:after="0" w:afterAutospacing="0"/>
              <w:ind w:left="0" w:right="0" w:firstLine="0"/>
              <w:rPr>
                <w:color w:val="auto"/>
              </w:rPr>
            </w:pPr>
            <w:r>
              <w:rPr>
                <w:rStyle w:val="11"/>
                <w:rFonts w:hint="eastAsia" w:ascii="宋体" w:hAnsi="宋体" w:eastAsia="宋体" w:cs="宋体"/>
                <w:b/>
                <w:bCs/>
                <w:color w:val="auto"/>
                <w:spacing w:val="0"/>
                <w:sz w:val="24"/>
                <w:szCs w:val="24"/>
              </w:rPr>
              <w:t>后有投标人须知前附表</w:t>
            </w:r>
            <w:r>
              <w:rPr>
                <w:rStyle w:val="11"/>
                <w:rFonts w:hint="default" w:ascii="Times New Roman" w:hAnsi="Times New Roman" w:cs="Times New Roman"/>
                <w:b/>
                <w:bCs/>
                <w:color w:val="auto"/>
                <w:spacing w:val="0"/>
                <w:sz w:val="24"/>
                <w:szCs w:val="24"/>
              </w:rPr>
              <w:t>2</w:t>
            </w:r>
            <w:r>
              <w:rPr>
                <w:rStyle w:val="11"/>
                <w:rFonts w:hint="eastAsia" w:ascii="宋体" w:hAnsi="宋体" w:eastAsia="宋体" w:cs="宋体"/>
                <w:b/>
                <w:bCs/>
                <w:color w:val="auto"/>
                <w:spacing w:val="0"/>
                <w:sz w:val="24"/>
                <w:szCs w:val="24"/>
              </w:rPr>
              <w:t>，请勿遗漏。</w:t>
            </w:r>
          </w:p>
        </w:tc>
      </w:tr>
    </w:tbl>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240" w:afterAutospacing="0"/>
        <w:ind w:left="-362" w:right="-362" w:firstLine="0"/>
        <w:jc w:val="center"/>
        <w:rPr>
          <w:color w:val="auto"/>
        </w:rPr>
      </w:pPr>
      <w:r>
        <w:rPr>
          <w:rStyle w:val="11"/>
          <w:rFonts w:hint="eastAsia" w:ascii="宋体" w:hAnsi="宋体" w:eastAsia="宋体" w:cs="宋体"/>
          <w:b/>
          <w:bCs/>
          <w:i w:val="0"/>
          <w:iCs w:val="0"/>
          <w:caps w:val="0"/>
          <w:color w:val="auto"/>
          <w:spacing w:val="0"/>
          <w:sz w:val="19"/>
          <w:szCs w:val="19"/>
          <w:shd w:val="clear" w:fill="FFFFFF"/>
        </w:rPr>
        <w:t>二、投标人须知前附表2</w:t>
      </w:r>
    </w:p>
    <w:tbl>
      <w:tblPr>
        <w:tblStyle w:val="9"/>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3"/>
        <w:gridCol w:w="849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Style w:val="11"/>
                <w:rFonts w:hint="eastAsia" w:ascii="宋体" w:hAnsi="宋体" w:eastAsia="宋体" w:cs="宋体"/>
                <w:b/>
                <w:bCs/>
                <w:color w:val="auto"/>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（1）电子招标投标活动的专门规定适用本项目电子招标投标活动。</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的内容</w:t>
            </w:r>
            <w:r>
              <w:rPr>
                <w:rStyle w:val="11"/>
                <w:rFonts w:hint="eastAsia" w:ascii="宋体" w:hAnsi="宋体" w:eastAsia="宋体" w:cs="宋体"/>
                <w:b/>
                <w:bCs/>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后适用本项目的电子招标投标活动。</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（3）将下列内容</w:t>
            </w:r>
            <w:r>
              <w:rPr>
                <w:rStyle w:val="11"/>
                <w:rFonts w:hint="eastAsia" w:ascii="宋体" w:hAnsi="宋体" w:eastAsia="宋体" w:cs="宋体"/>
                <w:b/>
                <w:bCs/>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②关于投标文件：</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11"/>
                <w:rFonts w:hint="eastAsia" w:ascii="宋体" w:hAnsi="宋体" w:eastAsia="宋体" w:cs="宋体"/>
                <w:b/>
                <w:bCs/>
                <w:color w:val="auto"/>
                <w:spacing w:val="0"/>
                <w:sz w:val="24"/>
                <w:szCs w:val="24"/>
              </w:rPr>
              <w:t>资格审查小组、评标委员会将按照不利于投标人的内容进行认定。</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11"/>
                <w:rFonts w:hint="eastAsia" w:ascii="宋体" w:hAnsi="宋体" w:eastAsia="宋体" w:cs="宋体"/>
                <w:b/>
                <w:bCs/>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份上传至福建省政府采购网上公开信息系统。电子投标文件的分项报价一览表、投标客户端的分项报价一览表应保持一致，并以投标客户端的分项报价一览表为准。</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③关于证明材料或资料：</w:t>
            </w:r>
          </w:p>
          <w:p>
            <w:pPr>
              <w:pStyle w:val="8"/>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a.招标文件要求原件的，投标人在电子投标文件中可提供复印件（含扫描件），但同时应准备好原件备查</w:t>
            </w:r>
            <w:r>
              <w:rPr>
                <w:rStyle w:val="11"/>
                <w:rFonts w:hint="eastAsia" w:ascii="宋体" w:hAnsi="宋体" w:eastAsia="宋体" w:cs="宋体"/>
                <w:b/>
                <w:bCs/>
                <w:color w:val="auto"/>
                <w:sz w:val="24"/>
                <w:szCs w:val="24"/>
              </w:rPr>
              <w:t>（未能在规定时间内提供原件核查的，将按不利于投标人进行评审）</w:t>
            </w:r>
            <w:r>
              <w:rPr>
                <w:rFonts w:hint="eastAsia" w:ascii="宋体" w:hAnsi="宋体" w:eastAsia="宋体" w:cs="宋体"/>
                <w:color w:val="auto"/>
                <w:sz w:val="24"/>
                <w:szCs w:val="24"/>
              </w:rPr>
              <w:t>；招标文件要求复印件的，投标人在投标文件中提供原件、复印件（含扫描件）皆可；招标文件对原件、复印件未作要求的，投标人在投标文件中提供原件、复印件（含扫描件）皆可。</w:t>
            </w:r>
          </w:p>
          <w:p>
            <w:pPr>
              <w:pStyle w:val="8"/>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b.若投标人提供注明“复印件无效”或“复印无效”的证明材料或资料，应结合上文a条款进行判定，若招标文件未要求投标人提供原件，投标人提供原件，复印件（含扫描件）均视为满足招标文件要求</w:t>
            </w:r>
            <w:r>
              <w:rPr>
                <w:rStyle w:val="11"/>
                <w:rFonts w:hint="eastAsia" w:ascii="宋体" w:hAnsi="宋体" w:eastAsia="宋体" w:cs="宋体"/>
                <w:b/>
                <w:bCs/>
                <w:color w:val="auto"/>
                <w:sz w:val="24"/>
                <w:szCs w:val="24"/>
              </w:rPr>
              <w:t>。</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④关于“全称”、“投标人代表签字”及“加盖单位公章”：</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b.在电子投标文件中，涉及“加盖单位公章”的内容应使用投标人的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证书完成，否则</w:t>
            </w:r>
            <w:r>
              <w:rPr>
                <w:rStyle w:val="11"/>
                <w:rFonts w:hint="eastAsia" w:ascii="宋体" w:hAnsi="宋体" w:eastAsia="宋体" w:cs="宋体"/>
                <w:b/>
                <w:bCs/>
                <w:color w:val="auto"/>
                <w:spacing w:val="0"/>
                <w:sz w:val="24"/>
                <w:szCs w:val="24"/>
              </w:rPr>
              <w:t>投标无效。</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c.在电子投标文件中，若投标人按照本增列内容第④点第</w:t>
            </w:r>
            <w:r>
              <w:rPr>
                <w:rFonts w:hint="default" w:ascii="Calibri" w:hAnsi="Calibri" w:cs="Calibri"/>
                <w:color w:val="auto"/>
                <w:spacing w:val="0"/>
                <w:sz w:val="24"/>
                <w:szCs w:val="24"/>
              </w:rPr>
              <w:t>b</w:t>
            </w:r>
            <w:r>
              <w:rPr>
                <w:rFonts w:hint="eastAsia" w:ascii="宋体" w:hAnsi="宋体" w:eastAsia="宋体" w:cs="宋体"/>
                <w:color w:val="auto"/>
                <w:spacing w:val="0"/>
                <w:sz w:val="24"/>
                <w:szCs w:val="24"/>
              </w:rPr>
              <w:t>项规定加盖其单位公章，则出现无全称、或投标人代表未签字等情形，</w:t>
            </w:r>
            <w:r>
              <w:rPr>
                <w:rStyle w:val="11"/>
                <w:rFonts w:hint="eastAsia" w:ascii="宋体" w:hAnsi="宋体" w:eastAsia="宋体" w:cs="宋体"/>
                <w:b/>
                <w:bCs/>
                <w:color w:val="auto"/>
                <w:spacing w:val="0"/>
                <w:sz w:val="24"/>
                <w:szCs w:val="24"/>
              </w:rPr>
              <w:t>不视为投标无效。</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⑤关于投标人的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证书应在投标截止时间前送达招标文件第一章第</w:t>
            </w:r>
            <w:r>
              <w:rPr>
                <w:rFonts w:hint="default" w:ascii="Calibri" w:hAnsi="Calibri" w:cs="Calibri"/>
                <w:color w:val="auto"/>
                <w:spacing w:val="0"/>
                <w:sz w:val="24"/>
                <w:szCs w:val="24"/>
              </w:rPr>
              <w:t>9</w:t>
            </w:r>
            <w:r>
              <w:rPr>
                <w:rFonts w:hint="eastAsia" w:ascii="宋体" w:hAnsi="宋体" w:eastAsia="宋体" w:cs="宋体"/>
                <w:color w:val="auto"/>
                <w:spacing w:val="0"/>
                <w:sz w:val="24"/>
                <w:szCs w:val="24"/>
              </w:rPr>
              <w:t>条载明的地点，否则</w:t>
            </w:r>
            <w:r>
              <w:rPr>
                <w:rStyle w:val="11"/>
                <w:rFonts w:hint="eastAsia" w:ascii="宋体" w:hAnsi="宋体" w:eastAsia="宋体" w:cs="宋体"/>
                <w:b/>
                <w:bCs/>
                <w:color w:val="auto"/>
                <w:spacing w:val="0"/>
                <w:sz w:val="24"/>
                <w:szCs w:val="24"/>
              </w:rPr>
              <w:t>投标将被拒绝。</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证书可采用信封（包括但不限于：信封、档案袋、文件袋等）作为外包装进行单独包装。外包装密封、不密封皆可。</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证书或外包装应标记“项目名称、项目编号、投标人的全称”等内容，以方便识别、使用。</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d.投标人的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证书应能正常、有效使用，否则产生不利后果由投标人承担责任。</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⑥关于投标截止时间过后</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a.未按招标文件规定提交投标保证金的，</w:t>
            </w:r>
            <w:r>
              <w:rPr>
                <w:rStyle w:val="11"/>
                <w:rFonts w:hint="eastAsia" w:ascii="宋体" w:hAnsi="宋体" w:eastAsia="宋体" w:cs="宋体"/>
                <w:b/>
                <w:bCs/>
                <w:color w:val="auto"/>
                <w:spacing w:val="0"/>
                <w:sz w:val="24"/>
                <w:szCs w:val="24"/>
              </w:rPr>
              <w:t>其投标将按无效投标处理。</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b.有下列情形之一的，其</w:t>
            </w:r>
            <w:r>
              <w:rPr>
                <w:rStyle w:val="11"/>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,其保证金不予退还：</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b1不同投标人的电子投标文件具有相同内部识别码；</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b2不同投标人的投标保证金从同一单位或个人的账户转出；</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b3投标人的投标保证金同一采购包下有其他投标人提交的投标保证金</w:t>
            </w:r>
          </w:p>
          <w:p>
            <w:pPr>
              <w:pStyle w:val="8"/>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b4不同投标人存在串通投标的其他情形。</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8"/>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⑧其他：</w:t>
            </w:r>
            <w:r>
              <w:rPr>
                <w:color w:val="auto"/>
                <w:spacing w:val="0"/>
                <w:sz w:val="24"/>
                <w:szCs w:val="24"/>
              </w:rPr>
              <w:t>无</w:t>
            </w:r>
            <w:r>
              <w:rPr>
                <w:rFonts w:hint="eastAsia" w:ascii="宋体" w:hAnsi="宋体" w:eastAsia="宋体" w:cs="宋体"/>
                <w:color w:val="auto"/>
                <w:spacing w:val="0"/>
                <w:sz w:val="24"/>
                <w:szCs w:val="24"/>
              </w:rPr>
              <w:t>。</w:t>
            </w:r>
          </w:p>
        </w:tc>
      </w:tr>
    </w:tbl>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31"/>
          <w:szCs w:val="31"/>
          <w:shd w:val="clear" w:fill="FFFFFF"/>
        </w:rPr>
        <w:t>第三章   投标人须知</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一、总则</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1、适用范围</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1.1适用于招标文件载明项目的政府采购活动（以下简称：“本次采购活动”）。</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2、定义</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2.1“采购标的”指招标文件载明的需要采购的货物或服务。</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2.2“潜在投标人”指按照招标文件第一章第</w:t>
      </w:r>
      <w:r>
        <w:rPr>
          <w:rFonts w:hint="default" w:ascii="Calibri" w:hAnsi="Calibri" w:eastAsia="微软雅黑" w:cs="Calibri"/>
          <w:i w:val="0"/>
          <w:iCs w:val="0"/>
          <w:caps w:val="0"/>
          <w:color w:val="auto"/>
          <w:spacing w:val="0"/>
          <w:sz w:val="24"/>
          <w:szCs w:val="24"/>
          <w:shd w:val="clear" w:fill="FFFFFF"/>
        </w:rPr>
        <w:t>7</w:t>
      </w:r>
      <w:r>
        <w:rPr>
          <w:rFonts w:hint="eastAsia" w:ascii="宋体" w:hAnsi="宋体" w:eastAsia="宋体" w:cs="宋体"/>
          <w:i w:val="0"/>
          <w:iCs w:val="0"/>
          <w:caps w:val="0"/>
          <w:color w:val="auto"/>
          <w:spacing w:val="0"/>
          <w:sz w:val="24"/>
          <w:szCs w:val="24"/>
          <w:shd w:val="clear" w:fill="FFFFFF"/>
        </w:rPr>
        <w:t>条规定获取招标文件且有意向参加本项目投标的供应商。</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2.3“投标人”指按照招标文件第一章第</w:t>
      </w:r>
      <w:r>
        <w:rPr>
          <w:rFonts w:hint="default" w:ascii="Calibri" w:hAnsi="Calibri" w:eastAsia="微软雅黑" w:cs="Calibri"/>
          <w:i w:val="0"/>
          <w:iCs w:val="0"/>
          <w:caps w:val="0"/>
          <w:color w:val="auto"/>
          <w:spacing w:val="0"/>
          <w:sz w:val="24"/>
          <w:szCs w:val="24"/>
          <w:shd w:val="clear" w:fill="FFFFFF"/>
        </w:rPr>
        <w:t>7</w:t>
      </w:r>
      <w:r>
        <w:rPr>
          <w:rFonts w:hint="eastAsia" w:ascii="宋体" w:hAnsi="宋体" w:eastAsia="宋体" w:cs="宋体"/>
          <w:i w:val="0"/>
          <w:iCs w:val="0"/>
          <w:caps w:val="0"/>
          <w:color w:val="auto"/>
          <w:spacing w:val="0"/>
          <w:sz w:val="24"/>
          <w:szCs w:val="24"/>
          <w:shd w:val="clear" w:fill="FFFFFF"/>
        </w:rPr>
        <w:t>条规定获取招标文件并参加本项目投标的供应商。</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2.4“单位负责人”指单位法定代表人或法律、法规规定代表单位行使职权的主要负责人。</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2.5“投标人代表”指投标人的单位负责人或“单位负责人授权书”中载明的接受授权方。</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二、投标人</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3、合格投标人</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3.1一般规定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（1）投标人应遵守政府采购法及实施条例、政府采购招投标管理办法、</w:t>
      </w:r>
      <w:r>
        <w:rPr>
          <w:rFonts w:hint="eastAsia" w:ascii="宋体" w:hAnsi="宋体" w:eastAsia="宋体" w:cs="宋体"/>
          <w:i w:val="0"/>
          <w:iCs w:val="0"/>
          <w:caps w:val="0"/>
          <w:color w:val="auto"/>
          <w:spacing w:val="0"/>
          <w:sz w:val="19"/>
          <w:szCs w:val="19"/>
          <w:shd w:val="clear" w:fill="FFFFFF"/>
        </w:rPr>
        <w:t>政府采购质疑和投诉办法及财政部、福建省财政厅有关政府采购文件的规定，同时还应遵守有关法律、法规和规章的强制性规定。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（2）投标人的资格要求：详见招标文件第一章。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3.2若本项目接受联合体投标且投标人为联合体，则联合体各方应遵守本章第3.1条规定，同时还应遵守下列规定：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（1）联合体各方应提交联合体协议，联合体协议应符合招标文件规定。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（2）联合体各方不得再单独参加或与其他供应商另外组成联合体参加同一合同项下的投标。</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（3）联合体各方应共同与采购人签订政府采购合同，就政府采购合同约定的事项对采购人承担连带责任。</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4、投标费用</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4.1除招标文件另有规定外，投标人应自行承担其参加本项目投标所涉及的一切费用。</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三、招标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5、招标文件</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5.1招标文件由下述部分组成：</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（1）投标邀请</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（2）投标人须知前附表（表</w:t>
      </w:r>
      <w:r>
        <w:rPr>
          <w:rFonts w:hint="default" w:ascii="Calibri" w:hAnsi="Calibri" w:eastAsia="微软雅黑" w:cs="Calibri"/>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（3）投标人须知</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（4）资格审查与评标</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（5）招标内容及要求</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（6）政府采购合同（参考文本）</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（7）投标文件格式</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（8）按照招标文件规定作为招标文件组成部分的其他内容（若有）</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5.2招标文件的澄清或修改</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w:t>
      </w:r>
      <w:r>
        <w:rPr>
          <w:rFonts w:hint="eastAsia" w:ascii="微软雅黑" w:hAnsi="微软雅黑" w:eastAsia="微软雅黑" w:cs="微软雅黑"/>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可对已发出的招标文件进行必要的澄清或修改，但不得对招标文件载明的采购标的和投标人的资格要求进行改变。</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（2）除本章第</w:t>
      </w:r>
      <w:r>
        <w:rPr>
          <w:rFonts w:hint="default" w:ascii="Calibri" w:hAnsi="Calibri" w:eastAsia="微软雅黑" w:cs="Calibri"/>
          <w:i w:val="0"/>
          <w:iCs w:val="0"/>
          <w:caps w:val="0"/>
          <w:color w:val="auto"/>
          <w:spacing w:val="0"/>
          <w:sz w:val="24"/>
          <w:szCs w:val="24"/>
          <w:shd w:val="clear" w:fill="FFFFFF"/>
        </w:rPr>
        <w:t>5.2</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）款规定情形外，澄清或修改的内容可能影响投标文件编制的，</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将在投标截止时间至少15个日历日前，在招标文件载明的指定媒体以更正公告的形式发布澄清或修改的内容。不足</w:t>
      </w:r>
      <w:r>
        <w:rPr>
          <w:rFonts w:hint="default" w:ascii="Calibri" w:hAnsi="Calibri" w:eastAsia="微软雅黑" w:cs="Calibri"/>
          <w:i w:val="0"/>
          <w:iCs w:val="0"/>
          <w:caps w:val="0"/>
          <w:color w:val="auto"/>
          <w:spacing w:val="0"/>
          <w:sz w:val="24"/>
          <w:szCs w:val="24"/>
          <w:shd w:val="clear" w:fill="FFFFFF"/>
        </w:rPr>
        <w:t>15</w:t>
      </w:r>
      <w:r>
        <w:rPr>
          <w:rFonts w:hint="eastAsia" w:ascii="宋体" w:hAnsi="宋体" w:eastAsia="宋体" w:cs="宋体"/>
          <w:i w:val="0"/>
          <w:iCs w:val="0"/>
          <w:caps w:val="0"/>
          <w:color w:val="auto"/>
          <w:spacing w:val="0"/>
          <w:sz w:val="24"/>
          <w:szCs w:val="24"/>
          <w:shd w:val="clear" w:fill="FFFFFF"/>
        </w:rPr>
        <w:t>个日历日的，</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将顺延投标截止时间及开标时间，</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和投标人受原投标截止时间及开标时间制约的所有权利和义务均延长至新的投标截止时间及开标时间。</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（3）澄清或修改的内容可能改变招标文件载明的采购标的和投标人的资格要求的，本次采购活动结束，</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将依法组织后续采购活动（包括但不限于：重新招标、采用其他方式采购等）。</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6、现场考察或开标前答疑会</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6.1是否组织现场考察或召开开标前答疑会：详见招标文件第二章。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7、更正公告</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7.1若</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发布更正公告，则更正公告及其所发布的内容或信息（包括但不限于：招标文件的澄清或修改、现场考察或答疑会的有关事宜等）</w:t>
      </w:r>
      <w:r>
        <w:rPr>
          <w:rStyle w:val="11"/>
          <w:rFonts w:hint="eastAsia" w:ascii="宋体" w:hAnsi="宋体" w:eastAsia="宋体" w:cs="宋体"/>
          <w:b/>
          <w:bCs/>
          <w:i w:val="0"/>
          <w:iCs w:val="0"/>
          <w:caps w:val="0"/>
          <w:color w:val="auto"/>
          <w:spacing w:val="0"/>
          <w:sz w:val="24"/>
          <w:szCs w:val="24"/>
          <w:shd w:val="clear" w:fill="FFFFFF"/>
        </w:rPr>
        <w:t>作为招标文件组成部分</w:t>
      </w:r>
      <w:r>
        <w:rPr>
          <w:rFonts w:hint="eastAsia" w:ascii="宋体" w:hAnsi="宋体" w:eastAsia="宋体" w:cs="宋体"/>
          <w:i w:val="0"/>
          <w:iCs w:val="0"/>
          <w:caps w:val="0"/>
          <w:color w:val="auto"/>
          <w:spacing w:val="0"/>
          <w:sz w:val="24"/>
          <w:szCs w:val="24"/>
          <w:shd w:val="clear" w:fill="FFFFFF"/>
        </w:rPr>
        <w:t>，对投标人具有约束力。</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7.2更正公告作为</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通知所有潜在投标人的书面形式。</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8、终止公告</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8.1若出现因重大变故导致采购任务取消情形，</w:t>
      </w:r>
      <w:r>
        <w:rPr>
          <w:rFonts w:hint="eastAsia" w:ascii="宋体" w:hAnsi="宋体" w:eastAsia="宋体" w:cs="宋体"/>
          <w:i w:val="0"/>
          <w:iCs w:val="0"/>
          <w:caps w:val="0"/>
          <w:color w:val="auto"/>
          <w:spacing w:val="0"/>
          <w:sz w:val="24"/>
          <w:szCs w:val="24"/>
          <w:u w:val="none"/>
          <w:shd w:val="clear" w:fill="FFFFFF"/>
        </w:rPr>
        <w:t>宁德市恒福招标有限公司可终止招标并发布终止公告。</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u w:val="none"/>
          <w:shd w:val="clear" w:fill="FFFFFF"/>
        </w:rPr>
        <w:t>8.2终止公告作为宁德市恒福招标有限公司</w:t>
      </w:r>
      <w:r>
        <w:rPr>
          <w:rFonts w:hint="eastAsia" w:ascii="宋体" w:hAnsi="宋体" w:eastAsia="宋体" w:cs="宋体"/>
          <w:i w:val="0"/>
          <w:iCs w:val="0"/>
          <w:caps w:val="0"/>
          <w:color w:val="auto"/>
          <w:spacing w:val="0"/>
          <w:sz w:val="24"/>
          <w:szCs w:val="24"/>
          <w:shd w:val="clear" w:fill="FFFFFF"/>
        </w:rPr>
        <w:t>通知所有潜在投标人的书面形式。</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四、投标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9、投标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9.1投标人可对招标文件载明的全部或部分采购包进行投标。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9.2投标人应对同一个采购包内的所有内容进行完整投标，否则</w:t>
      </w:r>
      <w:r>
        <w:rPr>
          <w:rStyle w:val="11"/>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9.3投标人代表只能接受一个投标人的授权参加投标，否则</w:t>
      </w:r>
      <w:r>
        <w:rPr>
          <w:rStyle w:val="11"/>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9.4单位负责人为同一人或存在直接控股、管理关系的不同供应商，不得同时参加同一合同项下的投标，否则</w:t>
      </w:r>
      <w:r>
        <w:rPr>
          <w:rStyle w:val="11"/>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9.5为本项目提供整体设计、规范编制或项目管理、监理、检测等服务的供应商，不得参加本项目除整体设计、规范编制和项目管理、监理、检测等服务外的采购活动，否则</w:t>
      </w:r>
      <w:r>
        <w:rPr>
          <w:rStyle w:val="11"/>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w:t>
      </w:r>
      <w:r>
        <w:rPr>
          <w:rStyle w:val="11"/>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9.7有下列情形之一的，视为投标人串通投标，</w:t>
      </w:r>
      <w:r>
        <w:rPr>
          <w:rStyle w:val="11"/>
          <w:rFonts w:hint="eastAsia" w:ascii="宋体" w:hAnsi="宋体" w:eastAsia="宋体" w:cs="宋体"/>
          <w:b/>
          <w:bCs/>
          <w:i w:val="0"/>
          <w:iCs w:val="0"/>
          <w:caps w:val="0"/>
          <w:color w:val="auto"/>
          <w:spacing w:val="0"/>
          <w:sz w:val="24"/>
          <w:szCs w:val="24"/>
          <w:shd w:val="clear" w:fill="FFFFFF"/>
        </w:rPr>
        <w:t>其投标无效：</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（1）不同投标人的投标文件由同一单位或个人编制；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（2）不同投标人委托同一单位或个人办理投标事宜；</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（3）不同投标人的投标文件载明的项目管理成员或联系人员为同一人；</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（4）不同投标人的投标文件异常一致或投标报价呈规律性差异；</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（5）不同投标人的投标文件相互混装；</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（6）不同投标人的投标保证金从同一单位或个人的账户转出；</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（7）有关法律、法规和规章及招标文件规定的其他串通投标情形。</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10、投标文件</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10.1投标文件的编制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（1）投标人应先仔细阅读招标文件的全部内容后，再进行投标文件的编制。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（2）投标文件应按照本章第</w:t>
      </w:r>
      <w:r>
        <w:rPr>
          <w:rFonts w:hint="default" w:ascii="Calibri" w:hAnsi="Calibri" w:eastAsia="微软雅黑" w:cs="Calibri"/>
          <w:i w:val="0"/>
          <w:iCs w:val="0"/>
          <w:caps w:val="0"/>
          <w:color w:val="auto"/>
          <w:spacing w:val="0"/>
          <w:sz w:val="24"/>
          <w:szCs w:val="24"/>
          <w:shd w:val="clear" w:fill="FFFFFF"/>
        </w:rPr>
        <w:t>10.2</w:t>
      </w:r>
      <w:r>
        <w:rPr>
          <w:rFonts w:hint="eastAsia" w:ascii="宋体" w:hAnsi="宋体" w:eastAsia="宋体" w:cs="宋体"/>
          <w:i w:val="0"/>
          <w:iCs w:val="0"/>
          <w:caps w:val="0"/>
          <w:color w:val="auto"/>
          <w:spacing w:val="0"/>
          <w:sz w:val="24"/>
          <w:szCs w:val="24"/>
          <w:shd w:val="clear" w:fill="FFFFFF"/>
        </w:rPr>
        <w:t>条规定编制其组成部分。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（3）投标文件应满足招标文件提出的实质性要求和条件，并保证其所提交的全部资料是不可割离且真实、有效、准确、完整和不具有任何误导性的，否则造成不利后果由投标人承担责任。</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10.2投标文件由下述部分组成：</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（1）资格及资信证明部分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①投标函</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②投标人的资格及资信证明文件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③投标保证金</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（2）报价部分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①开标一览表</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②投标分项报价表</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③招标文件规定的价格扣除证明材料（若有）</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④招标文件规定的加分证明材料（若有）</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（3）技术商务部分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①标的说明一览表</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②技术和服务要求响应表</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③商务条件响应表</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④投标人提交的其他资料（若有）</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⑤招标文件规定作为投标文件组成部分的其他内容（若有）</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10.3投标文件的语言</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（1）除招标文件另有规定外，投标文件应使用中文文本，若有不同文本，以中文文本为准。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10.4投标文件的份数：详见招标文件第二章。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10.5投标文件的格式</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（1）除招标文件另有规定外，投标文件应使用招标文件第七章规定的格式。</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（2）除招标文件另有规定外，投标文件应使用不能擦去的墨料或墨水打印、书写或复印。</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（3）除招标文件另有规定外，投标文件应使用人民币作为计量货币。</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（4）除招标文件另有规定外，签署、盖章应遵守下列规定：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①投标文件应加盖投标人的单位公章。若投标人代表为单位授权的委托代理人，应提供“单位授权书”。</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②投标文件应没有涂改或行间插字，除非这些改动是根据</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的指示进行的，或是为改正投标人造成的应修改的错误而进行的。若有前述改动，应按照下列规定之一对改动处进行处理：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a.投标人代表签字确认；</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b.加盖投标人的单位公章或校正章。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10.6投标报价</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（1）投标报价超出最高限价将导致</w:t>
      </w:r>
      <w:r>
        <w:rPr>
          <w:rStyle w:val="11"/>
          <w:rFonts w:hint="eastAsia" w:ascii="宋体" w:hAnsi="宋体" w:eastAsia="宋体" w:cs="宋体"/>
          <w:b/>
          <w:bCs/>
          <w:i w:val="0"/>
          <w:iCs w:val="0"/>
          <w:caps w:val="0"/>
          <w:color w:val="auto"/>
          <w:spacing w:val="0"/>
          <w:sz w:val="24"/>
          <w:szCs w:val="24"/>
          <w:shd w:val="clear" w:fill="FFFFFF"/>
        </w:rPr>
        <w:t>投标无效。</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（2）最高限价由采购人根据价格测算情况，在预算金额的额度内合理设定。最高限价不得超出预算金额。</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（3）除招标文件另有规定外，投标文件不能出现任何选择性的投标报价，即每一个采购包和品目号的采购标的都只能有一个投标报价。任何选择性的投标报价将导致</w:t>
      </w:r>
      <w:r>
        <w:rPr>
          <w:rStyle w:val="11"/>
          <w:rFonts w:hint="eastAsia" w:ascii="宋体" w:hAnsi="宋体" w:eastAsia="宋体" w:cs="宋体"/>
          <w:b/>
          <w:bCs/>
          <w:i w:val="0"/>
          <w:iCs w:val="0"/>
          <w:caps w:val="0"/>
          <w:color w:val="auto"/>
          <w:spacing w:val="0"/>
          <w:sz w:val="24"/>
          <w:szCs w:val="24"/>
          <w:shd w:val="clear" w:fill="FFFFFF"/>
        </w:rPr>
        <w:t>投标无效。</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10.7分包</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（1）是否允许中标人将本项目的非主体、非关键性工作进行分包：详见招标文件第二章。</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（3）招标文件允许中标人将非主体、非关键性工作进行分包的项目，有下列情形之一的，中标人不得分包：</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①投标文件中未载明分包承担主体；</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②投标文件载明的分包承担主体不具备相应资质条件；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③投标文件载明的分包承担主体拟再次分包；</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  ④享受中小企业扶持政策获得政府采购合同的，小微企业不得将合同分包给大中型企业，中型企业不得将合同分包给大型企业。</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10.8投标有效期</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（1）招标文件载明的投标有效期：详见招标文件第二章。</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（2）投标文件承诺的投标有效期不得少于招标文件载明的投标有效期，否则</w:t>
      </w:r>
      <w:r>
        <w:rPr>
          <w:rStyle w:val="11"/>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（3）根据本次采购活动的需要，</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可于投标有效期届满之前书面要求投标人延长投标有效期，投标人应在</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10.9投标保证金</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（1）投标保证金作为投标人按照招标文件规定履行相应投标责任、义务的约束及担保。</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（2）投标保证金的有效期应与投标文件承诺的投标有效期保持一致，否则</w:t>
      </w:r>
      <w:r>
        <w:rPr>
          <w:rStyle w:val="11"/>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（3）提交</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①投标人应从其银行账户</w:t>
      </w:r>
      <w:r>
        <w:rPr>
          <w:rStyle w:val="11"/>
          <w:rFonts w:hint="eastAsia" w:ascii="宋体" w:hAnsi="宋体" w:eastAsia="宋体" w:cs="宋体"/>
          <w:b/>
          <w:bCs/>
          <w:i w:val="0"/>
          <w:iCs w:val="0"/>
          <w:caps w:val="0"/>
          <w:color w:val="auto"/>
          <w:spacing w:val="0"/>
          <w:sz w:val="24"/>
          <w:szCs w:val="24"/>
          <w:shd w:val="clear" w:fill="FFFFFF"/>
        </w:rPr>
        <w:t>（基本存款账户）</w:t>
      </w:r>
      <w:r>
        <w:rPr>
          <w:rFonts w:hint="eastAsia" w:ascii="宋体" w:hAnsi="宋体" w:eastAsia="宋体" w:cs="宋体"/>
          <w:i w:val="0"/>
          <w:iCs w:val="0"/>
          <w:caps w:val="0"/>
          <w:color w:val="auto"/>
          <w:spacing w:val="0"/>
          <w:sz w:val="24"/>
          <w:szCs w:val="24"/>
          <w:shd w:val="clear" w:fill="FFFFFF"/>
        </w:rPr>
        <w:t>按照下列方式：</w:t>
      </w:r>
      <w:r>
        <w:rPr>
          <w:rStyle w:val="11"/>
          <w:rFonts w:hint="eastAsia" w:ascii="宋体" w:hAnsi="宋体" w:eastAsia="宋体" w:cs="宋体"/>
          <w:b/>
          <w:bCs/>
          <w:i w:val="0"/>
          <w:iCs w:val="0"/>
          <w:caps w:val="0"/>
          <w:color w:val="auto"/>
          <w:spacing w:val="0"/>
          <w:sz w:val="24"/>
          <w:szCs w:val="24"/>
          <w:shd w:val="clear" w:fill="FFFFFF"/>
        </w:rPr>
        <w:t>公对公转账方式</w:t>
      </w:r>
      <w:r>
        <w:rPr>
          <w:rFonts w:hint="eastAsia" w:ascii="宋体" w:hAnsi="宋体" w:eastAsia="宋体" w:cs="宋体"/>
          <w:i w:val="0"/>
          <w:iCs w:val="0"/>
          <w:caps w:val="0"/>
          <w:color w:val="auto"/>
          <w:spacing w:val="0"/>
          <w:sz w:val="24"/>
          <w:szCs w:val="24"/>
          <w:shd w:val="clear" w:fill="FFFFFF"/>
        </w:rPr>
        <w:t>向招标文件载明的投标保证金账户提交投标保证金，具体金额详见招标文件第一章。</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②投标保证金应于投标截止时间前到达招标文件载明的投标保证金账户，否则视为投标保证金未提交；是否到达按照下列方式认定：</w:t>
      </w:r>
      <w:r>
        <w:rPr>
          <w:rStyle w:val="11"/>
          <w:rFonts w:hint="eastAsia" w:ascii="宋体" w:hAnsi="宋体" w:eastAsia="宋体" w:cs="宋体"/>
          <w:b/>
          <w:bCs/>
          <w:i w:val="0"/>
          <w:iCs w:val="0"/>
          <w:caps w:val="0"/>
          <w:color w:val="auto"/>
          <w:spacing w:val="0"/>
          <w:sz w:val="24"/>
          <w:szCs w:val="24"/>
          <w:shd w:val="clear" w:fill="FFFFFF"/>
        </w:rPr>
        <w:t>以福建省政府采购网上公开信息系统记载的为准。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③若本项目接受联合体投标且投标人为联合体，则联合体中的牵头方应按照本章第</w:t>
      </w:r>
      <w:r>
        <w:rPr>
          <w:rFonts w:hint="default" w:ascii="Calibri" w:hAnsi="Calibri" w:eastAsia="微软雅黑" w:cs="Calibri"/>
          <w:i w:val="0"/>
          <w:iCs w:val="0"/>
          <w:caps w:val="0"/>
          <w:color w:val="auto"/>
          <w:spacing w:val="0"/>
          <w:sz w:val="24"/>
          <w:szCs w:val="24"/>
          <w:shd w:val="clear" w:fill="FFFFFF"/>
        </w:rPr>
        <w:t>10.9</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）款第①、②点规定提交投标保证金。</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※除招标文件另有规定外，未按照上述规定提交投标保证金将导致资格审查不合格。</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（4）退还</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①在投标截止时间前撤回已提交的投标文件的投标人，其投标保证金将在</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收到投标人书面撤回通知之日起5个工作日内退回原账户。</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②未中标人的投标保证金将在中标通知书发出之日起</w:t>
      </w:r>
      <w:r>
        <w:rPr>
          <w:rFonts w:hint="default" w:ascii="Calibri" w:hAnsi="Calibri" w:eastAsia="微软雅黑" w:cs="Calibri"/>
          <w:i w:val="0"/>
          <w:iCs w:val="0"/>
          <w:caps w:val="0"/>
          <w:color w:val="auto"/>
          <w:spacing w:val="0"/>
          <w:sz w:val="24"/>
          <w:szCs w:val="24"/>
          <w:shd w:val="clear" w:fill="FFFFFF"/>
        </w:rPr>
        <w:t>5</w:t>
      </w:r>
      <w:r>
        <w:rPr>
          <w:rFonts w:hint="eastAsia" w:ascii="宋体" w:hAnsi="宋体" w:eastAsia="宋体" w:cs="宋体"/>
          <w:i w:val="0"/>
          <w:iCs w:val="0"/>
          <w:caps w:val="0"/>
          <w:color w:val="auto"/>
          <w:spacing w:val="0"/>
          <w:sz w:val="24"/>
          <w:szCs w:val="24"/>
          <w:shd w:val="clear" w:fill="FFFFFF"/>
        </w:rPr>
        <w:t>个工作日内退回原账户。</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③中标人的投标保证金将在政府采购合同签订之日起</w:t>
      </w:r>
      <w:r>
        <w:rPr>
          <w:rFonts w:hint="default" w:ascii="Calibri" w:hAnsi="Calibri" w:eastAsia="微软雅黑" w:cs="Calibri"/>
          <w:i w:val="0"/>
          <w:iCs w:val="0"/>
          <w:caps w:val="0"/>
          <w:color w:val="auto"/>
          <w:spacing w:val="0"/>
          <w:sz w:val="24"/>
          <w:szCs w:val="24"/>
          <w:shd w:val="clear" w:fill="FFFFFF"/>
        </w:rPr>
        <w:t>5</w:t>
      </w:r>
      <w:r>
        <w:rPr>
          <w:rFonts w:hint="eastAsia" w:ascii="宋体" w:hAnsi="宋体" w:eastAsia="宋体" w:cs="宋体"/>
          <w:i w:val="0"/>
          <w:iCs w:val="0"/>
          <w:caps w:val="0"/>
          <w:color w:val="auto"/>
          <w:spacing w:val="0"/>
          <w:sz w:val="24"/>
          <w:szCs w:val="24"/>
          <w:shd w:val="clear" w:fill="FFFFFF"/>
        </w:rPr>
        <w:t>个工作日内退回原账户；合同签订之日</w:t>
      </w:r>
      <w:r>
        <w:rPr>
          <w:rStyle w:val="11"/>
          <w:rFonts w:hint="eastAsia" w:ascii="宋体" w:hAnsi="宋体" w:eastAsia="宋体" w:cs="宋体"/>
          <w:b/>
          <w:bCs/>
          <w:i w:val="0"/>
          <w:iCs w:val="0"/>
          <w:caps w:val="0"/>
          <w:color w:val="auto"/>
          <w:spacing w:val="0"/>
          <w:sz w:val="24"/>
          <w:szCs w:val="24"/>
          <w:shd w:val="clear" w:fill="FFFFFF"/>
        </w:rPr>
        <w:t>以福建省政府采购网上公开信息系统记载的为准。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④终止招标的，</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将在终止公告发布之日起5个工作日内退回已收取的投标保证金及其在银行产生的孳息。</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⑤除招标文件另有规定外，质疑或投诉涉及的投标人，若投标保证金尚未退还，则待质疑或投诉处理完毕后不计利息原额退还。</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※本章第</w:t>
      </w:r>
      <w:r>
        <w:rPr>
          <w:rStyle w:val="11"/>
          <w:rFonts w:hint="default" w:ascii="Calibri" w:hAnsi="Calibri" w:eastAsia="微软雅黑" w:cs="Calibri"/>
          <w:b/>
          <w:bCs/>
          <w:i w:val="0"/>
          <w:iCs w:val="0"/>
          <w:caps w:val="0"/>
          <w:color w:val="auto"/>
          <w:spacing w:val="0"/>
          <w:sz w:val="24"/>
          <w:szCs w:val="24"/>
          <w:shd w:val="clear" w:fill="FFFFFF"/>
        </w:rPr>
        <w:t>10.9</w:t>
      </w:r>
      <w:r>
        <w:rPr>
          <w:rStyle w:val="11"/>
          <w:rFonts w:hint="eastAsia" w:ascii="宋体" w:hAnsi="宋体" w:eastAsia="宋体" w:cs="宋体"/>
          <w:b/>
          <w:bCs/>
          <w:i w:val="0"/>
          <w:iCs w:val="0"/>
          <w:caps w:val="0"/>
          <w:color w:val="auto"/>
          <w:spacing w:val="0"/>
          <w:sz w:val="24"/>
          <w:szCs w:val="24"/>
          <w:shd w:val="clear" w:fill="FFFFFF"/>
        </w:rPr>
        <w:t>条第（</w:t>
      </w:r>
      <w:r>
        <w:rPr>
          <w:rStyle w:val="11"/>
          <w:rFonts w:hint="default" w:ascii="Calibri" w:hAnsi="Calibri" w:eastAsia="微软雅黑" w:cs="Calibri"/>
          <w:b/>
          <w:bCs/>
          <w:i w:val="0"/>
          <w:iCs w:val="0"/>
          <w:caps w:val="0"/>
          <w:color w:val="auto"/>
          <w:spacing w:val="0"/>
          <w:sz w:val="24"/>
          <w:szCs w:val="24"/>
          <w:shd w:val="clear" w:fill="FFFFFF"/>
        </w:rPr>
        <w:t>4</w:t>
      </w:r>
      <w:r>
        <w:rPr>
          <w:rStyle w:val="11"/>
          <w:rFonts w:hint="eastAsia" w:ascii="宋体" w:hAnsi="宋体" w:eastAsia="宋体" w:cs="宋体"/>
          <w:b/>
          <w:bCs/>
          <w:i w:val="0"/>
          <w:iCs w:val="0"/>
          <w:caps w:val="0"/>
          <w:color w:val="auto"/>
          <w:spacing w:val="0"/>
          <w:sz w:val="24"/>
          <w:szCs w:val="24"/>
          <w:shd w:val="clear" w:fill="FFFFFF"/>
        </w:rPr>
        <w:t>）款第①、②、③点规定的投标保证金退还时限不包括因投标人自身原因导致无法及时退还而增加的时间。</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（5）若出现本章第</w:t>
      </w:r>
      <w:r>
        <w:rPr>
          <w:rFonts w:hint="default" w:ascii="Calibri" w:hAnsi="Calibri" w:eastAsia="微软雅黑" w:cs="Calibri"/>
          <w:i w:val="0"/>
          <w:iCs w:val="0"/>
          <w:caps w:val="0"/>
          <w:color w:val="auto"/>
          <w:spacing w:val="0"/>
          <w:sz w:val="24"/>
          <w:szCs w:val="24"/>
          <w:shd w:val="clear" w:fill="FFFFFF"/>
        </w:rPr>
        <w:t>10.8</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（6）有下列情形之一的，投标保证金将不予退还：</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①投标人串通投标；</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②投标人提供虚假材料；</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③投标人采取不正当手段诋毁、排挤其他投标人；</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④投标截止时间后，投标人在投标有效期内撤销投标文件；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⑤招标文件规定的其他不予退还情形；</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⑥</w:t>
      </w:r>
      <w:r>
        <w:rPr>
          <w:rFonts w:hint="eastAsia" w:ascii="宋体" w:hAnsi="宋体" w:eastAsia="宋体" w:cs="宋体"/>
          <w:i w:val="0"/>
          <w:iCs w:val="0"/>
          <w:caps w:val="0"/>
          <w:color w:val="auto"/>
          <w:spacing w:val="0"/>
          <w:sz w:val="19"/>
          <w:szCs w:val="19"/>
          <w:shd w:val="clear" w:fill="FFFFFF"/>
        </w:rPr>
        <w:t>中标人有下列情形之一的：</w:t>
      </w:r>
    </w:p>
    <w:p>
      <w:pPr>
        <w:pStyle w:val="8"/>
        <w:keepNext w:val="0"/>
        <w:keepLines w:val="0"/>
        <w:widowControl/>
        <w:suppressLineNumbers w:val="0"/>
        <w:spacing w:before="76" w:beforeAutospacing="0" w:after="76" w:afterAutospacing="0"/>
        <w:ind w:left="-362" w:right="-362" w:firstLine="480"/>
        <w:rPr>
          <w:color w:val="auto"/>
        </w:rPr>
      </w:pPr>
      <w:r>
        <w:rPr>
          <w:rFonts w:hint="default" w:ascii="Calibri" w:hAnsi="Calibri" w:eastAsia="微软雅黑" w:cs="Calibri"/>
          <w:i w:val="0"/>
          <w:iCs w:val="0"/>
          <w:caps w:val="0"/>
          <w:color w:val="auto"/>
          <w:spacing w:val="0"/>
          <w:sz w:val="24"/>
          <w:szCs w:val="24"/>
          <w:shd w:val="clear" w:fill="FFFFFF"/>
        </w:rPr>
        <w:t>a</w:t>
      </w:r>
      <w:r>
        <w:rPr>
          <w:rFonts w:hint="eastAsia" w:ascii="宋体" w:hAnsi="宋体" w:eastAsia="宋体" w:cs="宋体"/>
          <w:i w:val="0"/>
          <w:iCs w:val="0"/>
          <w:caps w:val="0"/>
          <w:color w:val="auto"/>
          <w:spacing w:val="0"/>
          <w:sz w:val="24"/>
          <w:szCs w:val="24"/>
          <w:shd w:val="clear" w:fill="FFFFFF"/>
        </w:rPr>
        <w:t>.除不可抗力外，因中标人自身原因未在中标通知书要求的期限内与采购人签订政府采购合同；</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b.未按照招标文件、投标文件的约定签订政府采购合同或提交履约保证金。</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※若上述投标保证金不予退还情形给采购人（采购代理机构）造成损失，则投标人还要承担相应的赔偿责任。</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10.10投标文件的提交</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（1）一个投标人只能提交一个投标文件，并按照招标文件第一章规定将其送达。</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10.11投标文件的补充、修改或撤回</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（1）投标截止时间前，投标人可对所提交的投标文件进行补充、修改或撤回，并书面通知</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（2）补充、修改的内容应按照本章第</w:t>
      </w:r>
      <w:r>
        <w:rPr>
          <w:rFonts w:hint="default" w:ascii="Calibri" w:hAnsi="Calibri" w:eastAsia="微软雅黑" w:cs="Calibri"/>
          <w:i w:val="0"/>
          <w:iCs w:val="0"/>
          <w:caps w:val="0"/>
          <w:color w:val="auto"/>
          <w:spacing w:val="0"/>
          <w:sz w:val="24"/>
          <w:szCs w:val="24"/>
          <w:shd w:val="clear" w:fill="FFFFFF"/>
        </w:rPr>
        <w:t>10.5</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4</w:t>
      </w:r>
      <w:r>
        <w:rPr>
          <w:rFonts w:hint="eastAsia" w:ascii="宋体" w:hAnsi="宋体" w:eastAsia="宋体" w:cs="宋体"/>
          <w:i w:val="0"/>
          <w:iCs w:val="0"/>
          <w:caps w:val="0"/>
          <w:color w:val="auto"/>
          <w:spacing w:val="0"/>
          <w:sz w:val="24"/>
          <w:szCs w:val="24"/>
          <w:shd w:val="clear" w:fill="FFFFFF"/>
        </w:rPr>
        <w:t>）款规定进行签署、盖章，并按照本章第</w:t>
      </w:r>
      <w:r>
        <w:rPr>
          <w:rFonts w:hint="default" w:ascii="Calibri" w:hAnsi="Calibri" w:eastAsia="微软雅黑" w:cs="Calibri"/>
          <w:i w:val="0"/>
          <w:iCs w:val="0"/>
          <w:caps w:val="0"/>
          <w:color w:val="auto"/>
          <w:spacing w:val="0"/>
          <w:sz w:val="24"/>
          <w:szCs w:val="24"/>
          <w:shd w:val="clear" w:fill="FFFFFF"/>
        </w:rPr>
        <w:t>10.10</w:t>
      </w:r>
      <w:r>
        <w:rPr>
          <w:rFonts w:hint="eastAsia" w:ascii="宋体" w:hAnsi="宋体" w:eastAsia="宋体" w:cs="宋体"/>
          <w:i w:val="0"/>
          <w:iCs w:val="0"/>
          <w:caps w:val="0"/>
          <w:color w:val="auto"/>
          <w:spacing w:val="0"/>
          <w:sz w:val="24"/>
          <w:szCs w:val="24"/>
          <w:shd w:val="clear" w:fill="FFFFFF"/>
        </w:rPr>
        <w:t>条规定提交，</w:t>
      </w:r>
      <w:r>
        <w:rPr>
          <w:rStyle w:val="11"/>
          <w:rFonts w:hint="eastAsia" w:ascii="宋体" w:hAnsi="宋体" w:eastAsia="宋体" w:cs="宋体"/>
          <w:b/>
          <w:bCs/>
          <w:i w:val="0"/>
          <w:iCs w:val="0"/>
          <w:caps w:val="0"/>
          <w:color w:val="auto"/>
          <w:spacing w:val="0"/>
          <w:sz w:val="24"/>
          <w:szCs w:val="24"/>
          <w:shd w:val="clear" w:fill="FFFFFF"/>
        </w:rPr>
        <w:t>否则将被拒收。</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※按照上述规定提交的补充、修改内容作为投标文件组成部分。</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10.12除招标文件另有规定外，有下列情形之一的，</w:t>
      </w:r>
      <w:r>
        <w:rPr>
          <w:rStyle w:val="11"/>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（1）投标文件未按照招标文件要求签署、盖章；</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（2）不符合招标文件中规定的资格要求；</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（3）投标报价超过招标文件中规定的预算金额或最高限价；</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（4）投标文件含有采购人不能接受的附加条件；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（5）有关法律、法规和规章及招标文件规定的其他无效情形。</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五、开标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11、开标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11.1</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将在招标文件载明的开标时间及地点主持召开开标会，并邀请投标人参加。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11.2开标会的主持人、唱标人、记录人及其他工作人员（若有）均由</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派出，现场监督人员（若有）可由有关方面派出。</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11.3参加现场开标会的投标人应签到。</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11.4开标会应遵守下列规定：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（1）首先由主持人宣布开标会须知，然后由投标人代表对投标文件的密封情况进行检查，经确认无误后，由工作人员对密封的投标文件当众拆封。</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（3）记录人对唱标人宣布的内容作开标记录。</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（6）若投标人未参加开标会（包括但不限于投标人派出的人员不是投标人代表），视同其对开标过程和开标记录予以认可。</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※若出现本章第</w:t>
      </w:r>
      <w:r>
        <w:rPr>
          <w:rStyle w:val="11"/>
          <w:rFonts w:hint="default" w:ascii="Calibri" w:hAnsi="Calibri" w:eastAsia="微软雅黑" w:cs="Calibri"/>
          <w:b/>
          <w:bCs/>
          <w:i w:val="0"/>
          <w:iCs w:val="0"/>
          <w:caps w:val="0"/>
          <w:color w:val="auto"/>
          <w:spacing w:val="0"/>
          <w:sz w:val="24"/>
          <w:szCs w:val="24"/>
          <w:shd w:val="clear" w:fill="FFFFFF"/>
        </w:rPr>
        <w:t>11.4</w:t>
      </w:r>
      <w:r>
        <w:rPr>
          <w:rStyle w:val="11"/>
          <w:rFonts w:hint="eastAsia" w:ascii="宋体" w:hAnsi="宋体" w:eastAsia="宋体" w:cs="宋体"/>
          <w:b/>
          <w:bCs/>
          <w:i w:val="0"/>
          <w:iCs w:val="0"/>
          <w:caps w:val="0"/>
          <w:color w:val="auto"/>
          <w:spacing w:val="0"/>
          <w:sz w:val="24"/>
          <w:szCs w:val="24"/>
          <w:shd w:val="clear" w:fill="FFFFFF"/>
        </w:rPr>
        <w:t>条第（</w:t>
      </w:r>
      <w:r>
        <w:rPr>
          <w:rStyle w:val="11"/>
          <w:rFonts w:hint="default" w:ascii="Calibri" w:hAnsi="Calibri" w:eastAsia="微软雅黑" w:cs="Calibri"/>
          <w:b/>
          <w:bCs/>
          <w:i w:val="0"/>
          <w:iCs w:val="0"/>
          <w:caps w:val="0"/>
          <w:color w:val="auto"/>
          <w:spacing w:val="0"/>
          <w:sz w:val="24"/>
          <w:szCs w:val="24"/>
          <w:shd w:val="clear" w:fill="FFFFFF"/>
        </w:rPr>
        <w:t>4</w:t>
      </w:r>
      <w:r>
        <w:rPr>
          <w:rStyle w:val="11"/>
          <w:rFonts w:hint="eastAsia" w:ascii="宋体" w:hAnsi="宋体" w:eastAsia="宋体" w:cs="宋体"/>
          <w:b/>
          <w:bCs/>
          <w:i w:val="0"/>
          <w:iCs w:val="0"/>
          <w:caps w:val="0"/>
          <w:color w:val="auto"/>
          <w:spacing w:val="0"/>
          <w:sz w:val="24"/>
          <w:szCs w:val="24"/>
          <w:shd w:val="clear" w:fill="FFFFFF"/>
        </w:rPr>
        <w:t>）、（</w:t>
      </w:r>
      <w:r>
        <w:rPr>
          <w:rStyle w:val="11"/>
          <w:rFonts w:hint="default" w:ascii="Calibri" w:hAnsi="Calibri" w:eastAsia="微软雅黑" w:cs="Calibri"/>
          <w:b/>
          <w:bCs/>
          <w:i w:val="0"/>
          <w:iCs w:val="0"/>
          <w:caps w:val="0"/>
          <w:color w:val="auto"/>
          <w:spacing w:val="0"/>
          <w:sz w:val="24"/>
          <w:szCs w:val="24"/>
          <w:shd w:val="clear" w:fill="FFFFFF"/>
        </w:rPr>
        <w:t>5</w:t>
      </w:r>
      <w:r>
        <w:rPr>
          <w:rStyle w:val="11"/>
          <w:rFonts w:hint="eastAsia" w:ascii="宋体" w:hAnsi="宋体" w:eastAsia="宋体" w:cs="宋体"/>
          <w:b/>
          <w:bCs/>
          <w:i w:val="0"/>
          <w:iCs w:val="0"/>
          <w:caps w:val="0"/>
          <w:color w:val="auto"/>
          <w:spacing w:val="0"/>
          <w:sz w:val="24"/>
          <w:szCs w:val="24"/>
          <w:shd w:val="clear" w:fill="FFFFFF"/>
        </w:rPr>
        <w:t>）、（</w:t>
      </w:r>
      <w:r>
        <w:rPr>
          <w:rStyle w:val="11"/>
          <w:rFonts w:hint="default" w:ascii="Calibri" w:hAnsi="Calibri" w:eastAsia="微软雅黑" w:cs="Calibri"/>
          <w:b/>
          <w:bCs/>
          <w:i w:val="0"/>
          <w:iCs w:val="0"/>
          <w:caps w:val="0"/>
          <w:color w:val="auto"/>
          <w:spacing w:val="0"/>
          <w:sz w:val="24"/>
          <w:szCs w:val="24"/>
          <w:shd w:val="clear" w:fill="FFFFFF"/>
        </w:rPr>
        <w:t>6</w:t>
      </w:r>
      <w:r>
        <w:rPr>
          <w:rStyle w:val="11"/>
          <w:rFonts w:hint="eastAsia" w:ascii="宋体" w:hAnsi="宋体" w:eastAsia="宋体" w:cs="宋体"/>
          <w:b/>
          <w:bCs/>
          <w:i w:val="0"/>
          <w:iCs w:val="0"/>
          <w:caps w:val="0"/>
          <w:color w:val="auto"/>
          <w:spacing w:val="0"/>
          <w:sz w:val="24"/>
          <w:szCs w:val="24"/>
          <w:shd w:val="clear" w:fill="FFFFFF"/>
        </w:rPr>
        <w:t>）款规定情形之一</w:t>
      </w:r>
      <w:r>
        <w:rPr>
          <w:rFonts w:hint="eastAsia" w:ascii="宋体" w:hAnsi="宋体" w:eastAsia="宋体" w:cs="宋体"/>
          <w:i w:val="0"/>
          <w:iCs w:val="0"/>
          <w:caps w:val="0"/>
          <w:color w:val="auto"/>
          <w:spacing w:val="0"/>
          <w:sz w:val="24"/>
          <w:szCs w:val="24"/>
          <w:shd w:val="clear" w:fill="FFFFFF"/>
        </w:rPr>
        <w:t>，</w:t>
      </w:r>
      <w:r>
        <w:rPr>
          <w:rStyle w:val="11"/>
          <w:rFonts w:hint="eastAsia" w:ascii="宋体" w:hAnsi="宋体" w:eastAsia="宋体" w:cs="宋体"/>
          <w:b/>
          <w:bCs/>
          <w:i w:val="0"/>
          <w:iCs w:val="0"/>
          <w:caps w:val="0"/>
          <w:color w:val="auto"/>
          <w:spacing w:val="0"/>
          <w:sz w:val="24"/>
          <w:szCs w:val="24"/>
          <w:shd w:val="clear"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i w:val="0"/>
          <w:iCs w:val="0"/>
          <w:caps w:val="0"/>
          <w:color w:val="auto"/>
          <w:spacing w:val="0"/>
          <w:sz w:val="24"/>
          <w:szCs w:val="24"/>
          <w:u w:val="single"/>
          <w:shd w:val="clear" w:fill="FFFFFF"/>
        </w:rPr>
        <w:t>宁德市恒福招标有限公司</w:t>
      </w:r>
      <w:r>
        <w:rPr>
          <w:rStyle w:val="11"/>
          <w:rFonts w:hint="eastAsia" w:ascii="宋体" w:hAnsi="宋体" w:eastAsia="宋体" w:cs="宋体"/>
          <w:b/>
          <w:bCs/>
          <w:i w:val="0"/>
          <w:iCs w:val="0"/>
          <w:caps w:val="0"/>
          <w:color w:val="auto"/>
          <w:spacing w:val="0"/>
          <w:sz w:val="24"/>
          <w:szCs w:val="24"/>
          <w:shd w:val="clear" w:fill="FFFFFF"/>
        </w:rPr>
        <w:t>提出任何疑义或要求（包括质疑）。</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11.5投标截止时间后，参加投标的投标人不足三家的，不进行开标。同时，本次采购活动结束，</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将依法组织后续采购活动（包括但不限于：重新招标、采用其他方式采购等）。</w:t>
      </w:r>
    </w:p>
    <w:p>
      <w:pPr>
        <w:pStyle w:val="8"/>
        <w:keepNext w:val="0"/>
        <w:keepLines w:val="0"/>
        <w:widowControl/>
        <w:suppressLineNumbers w:val="0"/>
        <w:spacing w:before="76" w:beforeAutospacing="0" w:after="240" w:afterAutospacing="0"/>
        <w:ind w:left="-362" w:right="-362" w:firstLine="0"/>
        <w:rPr>
          <w:color w:val="auto"/>
        </w:rPr>
      </w:pPr>
      <w:r>
        <w:rPr>
          <w:rFonts w:hint="eastAsia" w:ascii="宋体" w:hAnsi="宋体" w:eastAsia="宋体" w:cs="宋体"/>
          <w:i w:val="0"/>
          <w:iCs w:val="0"/>
          <w:caps w:val="0"/>
          <w:color w:val="auto"/>
          <w:spacing w:val="0"/>
          <w:sz w:val="19"/>
          <w:szCs w:val="19"/>
          <w:shd w:val="clear" w:fill="FFFFFF"/>
        </w:rPr>
        <w:t>11.6投标截止时间后撤销投标的处理</w:t>
      </w:r>
      <w:r>
        <w:rPr>
          <w:rFonts w:hint="eastAsia" w:ascii="宋体" w:hAnsi="宋体" w:eastAsia="宋体" w:cs="宋体"/>
          <w:i w:val="0"/>
          <w:iCs w:val="0"/>
          <w:caps w:val="0"/>
          <w:color w:val="auto"/>
          <w:spacing w:val="0"/>
          <w:sz w:val="19"/>
          <w:szCs w:val="19"/>
          <w:shd w:val="clear" w:fill="FFFFFF"/>
        </w:rPr>
        <w:br w:type="textWrapping"/>
      </w:r>
      <w:r>
        <w:rPr>
          <w:rFonts w:hint="eastAsia" w:ascii="宋体" w:hAnsi="宋体" w:eastAsia="宋体" w:cs="宋体"/>
          <w:i w:val="0"/>
          <w:iCs w:val="0"/>
          <w:caps w:val="0"/>
          <w:color w:val="auto"/>
          <w:spacing w:val="0"/>
          <w:sz w:val="19"/>
          <w:szCs w:val="19"/>
          <w:shd w:val="clear" w:fill="FFFFFF"/>
        </w:rPr>
        <w:t>  投标截止时间后，投标人在投标有效期内撤销投标的，其撤销投标的行为无效。    </w:t>
      </w:r>
      <w:r>
        <w:rPr>
          <w:rFonts w:hint="eastAsia" w:ascii="宋体" w:hAnsi="宋体" w:eastAsia="宋体" w:cs="宋体"/>
          <w:i w:val="0"/>
          <w:iCs w:val="0"/>
          <w:caps w:val="0"/>
          <w:color w:val="auto"/>
          <w:spacing w:val="0"/>
          <w:sz w:val="19"/>
          <w:szCs w:val="19"/>
          <w:shd w:val="clear" w:fill="FFFFFF"/>
        </w:rPr>
        <w:br w:type="textWrapping"/>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六、中标与政府采购合同</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12、中标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12.1本项目推荐的中标候选人家数：详见招标文件第二章。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12.2本项目中标人的确定：详见招标文件第二章。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12.3中标公告</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（1）中标人确定之日起</w:t>
      </w:r>
      <w:r>
        <w:rPr>
          <w:rFonts w:hint="default" w:ascii="Calibri" w:hAnsi="Calibri" w:eastAsia="微软雅黑"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个工作日内，</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将在招标文件载明的指定媒体以中标公告的形式发布中标结果。</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（2）中标公告的公告期限为</w:t>
      </w:r>
      <w:r>
        <w:rPr>
          <w:rFonts w:hint="default" w:ascii="Calibri" w:hAnsi="Calibri" w:eastAsia="微软雅黑" w:cs="Calibri"/>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shd w:val="clear" w:fill="FFFFFF"/>
        </w:rPr>
        <w:t>个工作日。</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12.4中标通知书</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（1）中标公告发布的同时，</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将向中标人发出中标通知书。</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（2）中标通知书发出后，采购人不得违法改变中标结果，中标人无正当理由不得放弃中标。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13、政府采购合同</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13.2签订时限：自中标通知书发出之日起30个日历日内。。</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13.3政府采购合同的履行、违约责任和解决争议的方法等适用民法典。</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13.4采购人与中标人应根据政府采购合同的约定依法履行合同义务。</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13.5政府采购合同履行过程中，采购人若需追加与合同标的相同的货物或服务，则追加采购金额不得超过原合同采购金额的</w:t>
      </w:r>
      <w:r>
        <w:rPr>
          <w:rFonts w:hint="default" w:ascii="Calibri" w:hAnsi="Calibri" w:eastAsia="微软雅黑"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13.6中标人在政府采购合同履行过程中应遵守有关法律、法规和规章的强制性规定（即使前述强制性规定有可能在招标文件中未予列明）。</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七、询问、质疑与投诉</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14、询问</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14.1潜在投标人或投标人对本次采购活动的有关事项若有疑问，可向宁德市恒福招标有限公司提出询问，宁德市恒福招标有限公司将按照政府采购法及实施条例的有关规定进行答复。</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15、质疑</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15.1</w:t>
      </w:r>
      <w:r>
        <w:rPr>
          <w:rFonts w:hint="eastAsia" w:ascii="宋体" w:hAnsi="宋体" w:eastAsia="宋体" w:cs="宋体"/>
          <w:i w:val="0"/>
          <w:iCs w:val="0"/>
          <w:caps w:val="0"/>
          <w:color w:val="auto"/>
          <w:spacing w:val="0"/>
          <w:sz w:val="19"/>
          <w:szCs w:val="19"/>
          <w:shd w:val="clear" w:fill="FFFFFF"/>
        </w:rPr>
        <w:t>针对同一采购程序环节的质疑应在政府采购法及实施条例的时限内一次性提出，对一个项目的不同采购包提出质疑的，应当将各采购包质疑事项集中在一份质疑函中提出，并同时符合下列条件：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（2）质疑人应按照招标文件第二章规定方式提交质疑函。</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（3）质疑函应包括下列主要内容：</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①质疑人的基本信息，至少包括：全称、地址、邮政编码等；</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②所质疑项目的基本信息，至少包括：项目编号、项目名称等；</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③所质疑的具体事项（以下简称：“质疑事项”）；</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④针对质疑事项提出的明确请求，前述明确请求指质疑人提出质疑的目的以及希望宁德市恒福招标有限公司对其质疑作出的处理结果，如：暂停招标投标活动、修改招标文件、停止或纠正违法违规行为、中标结果无效、废标、重新招标等；</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⑤针对质疑事项导致质疑人自身权益受到损害的必要证明材料，至少包括：</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a.质疑人代表的身份证明材料：</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a1</w:t>
      </w:r>
      <w:r>
        <w:rPr>
          <w:rFonts w:hint="eastAsia" w:ascii="宋体" w:hAnsi="宋体" w:eastAsia="宋体" w:cs="宋体"/>
          <w:i w:val="0"/>
          <w:iCs w:val="0"/>
          <w:caps w:val="0"/>
          <w:color w:val="auto"/>
          <w:spacing w:val="0"/>
          <w:sz w:val="19"/>
          <w:szCs w:val="19"/>
          <w:shd w:val="clear" w:fill="FFFFFF"/>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a2若本项目接受自然人投标且质疑人为自然人的，提供本人的身份证复印件。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w:t>
      </w:r>
      <w:r>
        <w:rPr>
          <w:rFonts w:hint="eastAsia" w:ascii="宋体" w:hAnsi="宋体" w:eastAsia="宋体" w:cs="宋体"/>
          <w:i w:val="0"/>
          <w:iCs w:val="0"/>
          <w:caps w:val="0"/>
          <w:color w:val="auto"/>
          <w:spacing w:val="0"/>
          <w:sz w:val="19"/>
          <w:szCs w:val="19"/>
          <w:shd w:val="clear" w:fill="FFFFFF"/>
        </w:rPr>
        <w:t>其他证明材料（即事实依据和必要的法律依据）包括但不限于下列材料：</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b1所质疑的具体事项是与自已有利害关系的证明材料；</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b2质疑函所述事实存在的证明材料，如：采购文件、采购过程或中标结果违法违规或不符合采购文件要求等证明材料；</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b3依法应终止采购程序的证明材料；</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b4应重新采购的证明材料；</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b5采购文件、采购过程或中标、成交结果损害自已合法权益的证明材料等；</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b/>
          <w:bCs/>
          <w:i w:val="0"/>
          <w:iCs w:val="0"/>
          <w:caps w:val="0"/>
          <w:color w:val="auto"/>
          <w:spacing w:val="0"/>
          <w:sz w:val="24"/>
          <w:szCs w:val="24"/>
          <w:shd w:val="clear" w:fill="FFFFFF"/>
        </w:rPr>
        <w:t>视为无效</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19"/>
          <w:szCs w:val="19"/>
          <w:shd w:val="clear" w:fill="FFFFFF"/>
        </w:rPr>
        <w:t>   ⑥质疑人代表及其联系方法的信息，至少包括：姓名、手机、电子信箱、邮寄地址等。</w:t>
      </w:r>
      <w:r>
        <w:rPr>
          <w:rFonts w:hint="eastAsia" w:ascii="宋体" w:hAnsi="宋体" w:eastAsia="宋体" w:cs="宋体"/>
          <w:i w:val="0"/>
          <w:iCs w:val="0"/>
          <w:caps w:val="0"/>
          <w:color w:val="auto"/>
          <w:spacing w:val="0"/>
          <w:sz w:val="19"/>
          <w:szCs w:val="19"/>
          <w:shd w:val="clear" w:fill="FFFFFF"/>
        </w:rPr>
        <w:br w:type="textWrapping"/>
      </w:r>
      <w:r>
        <w:rPr>
          <w:rFonts w:hint="eastAsia" w:ascii="宋体" w:hAnsi="宋体" w:eastAsia="宋体" w:cs="宋体"/>
          <w:i w:val="0"/>
          <w:iCs w:val="0"/>
          <w:caps w:val="0"/>
          <w:color w:val="auto"/>
          <w:spacing w:val="0"/>
          <w:sz w:val="19"/>
          <w:szCs w:val="19"/>
          <w:shd w:val="clear" w:fill="FFFFFF"/>
        </w:rPr>
        <w:t>   ⑦提出质疑的日期。</w:t>
      </w:r>
    </w:p>
    <w:p>
      <w:pPr>
        <w:pStyle w:val="8"/>
        <w:keepNext w:val="0"/>
        <w:keepLines w:val="0"/>
        <w:widowControl/>
        <w:suppressLineNumbers w:val="0"/>
        <w:spacing w:before="0" w:beforeAutospacing="0" w:after="150" w:afterAutospacing="0"/>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※质疑人为法人或其他组织的，质疑函应由单位负责人或委托代理人签字或盖章，并加盖投标人的单位公章。质疑人为自然人的，质疑函应由本人签字。</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15.2对不符合本章第</w:t>
      </w:r>
      <w:r>
        <w:rPr>
          <w:rFonts w:hint="default" w:ascii="Calibri" w:hAnsi="Calibri" w:eastAsia="微软雅黑" w:cs="Calibri"/>
          <w:i w:val="0"/>
          <w:iCs w:val="0"/>
          <w:caps w:val="0"/>
          <w:color w:val="auto"/>
          <w:spacing w:val="0"/>
          <w:sz w:val="24"/>
          <w:szCs w:val="24"/>
          <w:shd w:val="clear" w:fill="FFFFFF"/>
        </w:rPr>
        <w:t>15.1</w:t>
      </w:r>
      <w:r>
        <w:rPr>
          <w:rFonts w:hint="eastAsia" w:ascii="宋体" w:hAnsi="宋体" w:eastAsia="宋体" w:cs="宋体"/>
          <w:i w:val="0"/>
          <w:iCs w:val="0"/>
          <w:caps w:val="0"/>
          <w:color w:val="auto"/>
          <w:spacing w:val="0"/>
          <w:sz w:val="24"/>
          <w:szCs w:val="24"/>
          <w:shd w:val="clear" w:fill="FFFFFF"/>
        </w:rPr>
        <w:t>条规定的质疑，将按照下列规定进行处理：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（1）不符合其中第（</w:t>
      </w:r>
      <w:r>
        <w:rPr>
          <w:rFonts w:hint="default" w:ascii="Calibri" w:hAnsi="Calibri" w:eastAsia="微软雅黑" w:cs="Calibri"/>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）条规定的，书面告知质疑人不予受理及其理由。</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（2）不符合其中第（</w:t>
      </w:r>
      <w:r>
        <w:rPr>
          <w:rFonts w:hint="default" w:ascii="Calibri" w:hAnsi="Calibri" w:eastAsia="微软雅黑"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）条规定的，书面告知质疑人修改、补充后在规定时限内重新提交质疑函。</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15.3对符合本章第</w:t>
      </w:r>
      <w:r>
        <w:rPr>
          <w:rFonts w:hint="default" w:ascii="Calibri" w:hAnsi="Calibri" w:eastAsia="微软雅黑" w:cs="Calibri"/>
          <w:i w:val="0"/>
          <w:iCs w:val="0"/>
          <w:caps w:val="0"/>
          <w:color w:val="auto"/>
          <w:spacing w:val="0"/>
          <w:sz w:val="24"/>
          <w:szCs w:val="24"/>
          <w:shd w:val="clear" w:fill="FFFFFF"/>
        </w:rPr>
        <w:t>15.1</w:t>
      </w:r>
      <w:r>
        <w:rPr>
          <w:rFonts w:hint="eastAsia" w:ascii="宋体" w:hAnsi="宋体" w:eastAsia="宋体" w:cs="宋体"/>
          <w:i w:val="0"/>
          <w:iCs w:val="0"/>
          <w:caps w:val="0"/>
          <w:color w:val="auto"/>
          <w:spacing w:val="0"/>
          <w:sz w:val="24"/>
          <w:szCs w:val="24"/>
          <w:shd w:val="clear" w:fill="FFFFFF"/>
        </w:rPr>
        <w:t>条规定的质疑，将按照政府采购法及实施条例</w:t>
      </w:r>
      <w:r>
        <w:rPr>
          <w:rFonts w:hint="eastAsia" w:ascii="宋体" w:hAnsi="宋体" w:eastAsia="宋体" w:cs="宋体"/>
          <w:i w:val="0"/>
          <w:iCs w:val="0"/>
          <w:caps w:val="0"/>
          <w:color w:val="auto"/>
          <w:spacing w:val="0"/>
          <w:sz w:val="19"/>
          <w:szCs w:val="19"/>
          <w:shd w:val="clear" w:fill="FFFFFF"/>
        </w:rPr>
        <w:t>、政府采购质疑和投诉办法的有关规定进行答复。</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15.4招标文件的质疑：详见招标文件第二章。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16、投诉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16.1若对质疑答复不满意或质疑答复未在答复期限内作出，质疑人可在答复期限届满之日起</w:t>
      </w:r>
      <w:r>
        <w:rPr>
          <w:rFonts w:hint="default" w:ascii="Calibri" w:hAnsi="Calibri" w:eastAsia="宋体" w:cs="Calibri"/>
          <w:i w:val="0"/>
          <w:iCs w:val="0"/>
          <w:caps w:val="0"/>
          <w:color w:val="auto"/>
          <w:spacing w:val="0"/>
          <w:sz w:val="24"/>
          <w:szCs w:val="24"/>
          <w:shd w:val="clear" w:fill="FFFFFF"/>
        </w:rPr>
        <w:t>15</w:t>
      </w:r>
      <w:r>
        <w:rPr>
          <w:rFonts w:hint="eastAsia" w:ascii="宋体" w:hAnsi="宋体" w:eastAsia="宋体" w:cs="宋体"/>
          <w:i w:val="0"/>
          <w:iCs w:val="0"/>
          <w:caps w:val="0"/>
          <w:color w:val="auto"/>
          <w:spacing w:val="0"/>
          <w:sz w:val="24"/>
          <w:szCs w:val="24"/>
          <w:shd w:val="clear" w:fill="FFFFFF"/>
        </w:rPr>
        <w:t>个工作日内按照政府采购质疑和投诉办法的有关规定向招标文件第二章载明的本项目监督管理部门提起投诉。</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16.2投诉应有明确的请求和必要的证明材料，投诉的事项不得超出已质疑事项的范围。</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八、政府采购政策</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17、政府采购政策由财政部根据国家的经济和社会发展政策并会同国家有关部委制定，包括但不限于下列具体政策要求：</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17.1进口产品指通过中国海关报关验放进入中国境内且产自关境外的产品，其中：</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（2）凡在海关特殊监管区域内企业生产或加工（包括从境外进口料件）销往境内其他地区的产品，不作为政府采购项下进口产品。</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（3）对从境外进入海关特殊监管区域，再经办理报关手续后从海关特殊监管区进入境内其他地区的产品，认定为进口产品。</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（4）招标文件列明不允许或未列明允许进口产品参加投标的，均视为拒绝进口产品参加投标。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4"/>
          <w:szCs w:val="24"/>
          <w:shd w:val="clear"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b/>
          <w:bCs/>
          <w:i w:val="0"/>
          <w:iCs w:val="0"/>
          <w:caps w:val="0"/>
          <w:color w:val="auto"/>
          <w:spacing w:val="0"/>
          <w:sz w:val="19"/>
          <w:szCs w:val="19"/>
          <w:shd w:val="clear" w:fill="FFFFFF"/>
        </w:rPr>
        <w:t>“残疾人福利性单位”</w:t>
      </w:r>
      <w:r>
        <w:rPr>
          <w:rFonts w:hint="eastAsia" w:ascii="宋体" w:hAnsi="宋体" w:eastAsia="宋体" w:cs="宋体"/>
          <w:i w:val="0"/>
          <w:iCs w:val="0"/>
          <w:caps w:val="0"/>
          <w:color w:val="auto"/>
          <w:spacing w:val="0"/>
          <w:sz w:val="24"/>
          <w:szCs w:val="24"/>
          <w:shd w:val="clear" w:fill="FFFFFF"/>
        </w:rPr>
        <w:t>）亦可享受前述扶持政策。其中：</w:t>
      </w:r>
    </w:p>
    <w:p>
      <w:pPr>
        <w:pStyle w:val="8"/>
        <w:keepNext w:val="0"/>
        <w:keepLines w:val="0"/>
        <w:widowControl/>
        <w:suppressLineNumbers w:val="0"/>
        <w:spacing w:before="76" w:beforeAutospacing="0" w:after="76" w:afterAutospacing="0"/>
        <w:ind w:left="-362" w:right="-362" w:firstLine="240"/>
        <w:rPr>
          <w:color w:val="auto"/>
        </w:rPr>
      </w:pPr>
      <w:r>
        <w:rPr>
          <w:rFonts w:hint="eastAsia" w:ascii="宋体" w:hAnsi="宋体" w:eastAsia="宋体" w:cs="宋体"/>
          <w:i w:val="0"/>
          <w:iCs w:val="0"/>
          <w:caps w:val="0"/>
          <w:color w:val="auto"/>
          <w:spacing w:val="0"/>
          <w:sz w:val="24"/>
          <w:szCs w:val="24"/>
          <w:shd w:val="clear" w:fill="FFFFFF"/>
        </w:rPr>
        <w:t>（1）中小企业指符合下列条件的中型、小型、微型企业：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①符合《工业和信息化部、国家统计局、国家发展和改革委员会、财政部关于印发中小企业划型标准规定的通知》（工信部联企业</w:t>
      </w:r>
      <w:r>
        <w:rPr>
          <w:rFonts w:hint="default" w:ascii="Calibri" w:hAnsi="Calibri" w:eastAsia="微软雅黑" w:cs="Calibri"/>
          <w:i w:val="0"/>
          <w:iCs w:val="0"/>
          <w:caps w:val="0"/>
          <w:color w:val="auto"/>
          <w:spacing w:val="0"/>
          <w:sz w:val="24"/>
          <w:szCs w:val="24"/>
          <w:shd w:val="clear" w:fill="FFFFFF"/>
        </w:rPr>
        <w:t>[2011]300</w:t>
      </w:r>
      <w:r>
        <w:rPr>
          <w:rFonts w:hint="eastAsia" w:ascii="宋体" w:hAnsi="宋体" w:eastAsia="宋体" w:cs="宋体"/>
          <w:i w:val="0"/>
          <w:iCs w:val="0"/>
          <w:caps w:val="0"/>
          <w:color w:val="auto"/>
          <w:spacing w:val="0"/>
          <w:sz w:val="24"/>
          <w:szCs w:val="24"/>
          <w:shd w:val="clear" w:fill="FFFFFF"/>
        </w:rPr>
        <w:t>号）规定的划分标准，但与大企业的负责人为同一人，或者与大企业存在直接控股、管理关系的除外；；</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②符合中小企业划分标准的个体工商户，在政府采购活动中视同中小企业。</w:t>
      </w:r>
    </w:p>
    <w:p>
      <w:pPr>
        <w:pStyle w:val="8"/>
        <w:keepNext w:val="0"/>
        <w:keepLines w:val="0"/>
        <w:widowControl/>
        <w:suppressLineNumbers w:val="0"/>
        <w:spacing w:before="76" w:beforeAutospacing="0" w:after="76" w:afterAutospacing="0"/>
        <w:ind w:left="-362" w:right="-362" w:firstLine="240"/>
        <w:rPr>
          <w:color w:val="auto"/>
        </w:rPr>
      </w:pPr>
      <w:r>
        <w:rPr>
          <w:rFonts w:hint="eastAsia" w:ascii="宋体" w:hAnsi="宋体" w:eastAsia="宋体" w:cs="宋体"/>
          <w:i w:val="0"/>
          <w:iCs w:val="0"/>
          <w:caps w:val="0"/>
          <w:color w:val="auto"/>
          <w:spacing w:val="0"/>
          <w:sz w:val="24"/>
          <w:szCs w:val="24"/>
          <w:shd w:val="clear" w:fill="FFFFFF"/>
        </w:rPr>
        <w:t>（2）在政府采购活动中，供应商提供的货物、工程或者服务符合下列情形的，享受本办法规定的中小企业扶持政策：</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①在货物采购项目中，货物由中小企业制造，即货物由中小企业生产且使用该中小企业商号或者注册商标；</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②在工程采购项目中，工程由中小企业承建，即工程施工单位为中小企业；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③在服务采购项目中，服务由中小企业承接，即提供服务的人员为中小企业依照《中华人民共和国劳动合同法》 订立劳动合同的从业人员。</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在货物采购项目中，供应商提供的货物既有中小企业制造货物，也有大型企业制造货物的，不享受本办法规定的中小企业扶持政策。</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以联合体形式参加政府采购活动，联合体各方均为中小企业的，联合体视同中小企业。其中，联合体各方均为小微企业的，联合体视同小微企业。</w:t>
      </w:r>
    </w:p>
    <w:p>
      <w:pPr>
        <w:pStyle w:val="8"/>
        <w:keepNext w:val="0"/>
        <w:keepLines w:val="0"/>
        <w:widowControl/>
        <w:suppressLineNumbers w:val="0"/>
        <w:spacing w:before="76" w:beforeAutospacing="0" w:after="76" w:afterAutospacing="0"/>
        <w:ind w:left="-362" w:right="-362" w:firstLine="240"/>
        <w:rPr>
          <w:color w:val="auto"/>
        </w:rPr>
      </w:pPr>
      <w:r>
        <w:rPr>
          <w:rFonts w:hint="eastAsia" w:ascii="宋体" w:hAnsi="宋体" w:eastAsia="宋体" w:cs="宋体"/>
          <w:i w:val="0"/>
          <w:iCs w:val="0"/>
          <w:caps w:val="0"/>
          <w:color w:val="auto"/>
          <w:spacing w:val="0"/>
          <w:sz w:val="24"/>
          <w:szCs w:val="24"/>
          <w:shd w:val="clear" w:fill="FFFFFF"/>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①监狱企业参加采购活动时，应提供由省级以上监狱管理局、戒毒管理局（含新疆生产建设兵团）出具的属于监狱企业的证明文件。</w:t>
      </w:r>
    </w:p>
    <w:p>
      <w:pPr>
        <w:pStyle w:val="8"/>
        <w:keepNext w:val="0"/>
        <w:keepLines w:val="0"/>
        <w:widowControl/>
        <w:suppressLineNumbers w:val="0"/>
        <w:spacing w:before="76" w:beforeAutospacing="0" w:after="24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②监狱企业视同小型、微型企业。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（4）残疾人福利性单位指同时符合下列条件的单位：</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①安置的残疾人占本单位在职职工人数的比例不低于</w:t>
      </w:r>
      <w:r>
        <w:rPr>
          <w:rFonts w:hint="default" w:ascii="Calibri" w:hAnsi="Calibri" w:eastAsia="微软雅黑" w:cs="Calibri"/>
          <w:i w:val="0"/>
          <w:iCs w:val="0"/>
          <w:caps w:val="0"/>
          <w:color w:val="auto"/>
          <w:spacing w:val="0"/>
          <w:sz w:val="24"/>
          <w:szCs w:val="24"/>
          <w:shd w:val="clear" w:fill="FFFFFF"/>
        </w:rPr>
        <w:t>25%</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微软雅黑" w:cs="Calibri"/>
          <w:i w:val="0"/>
          <w:iCs w:val="0"/>
          <w:caps w:val="0"/>
          <w:color w:val="auto"/>
          <w:spacing w:val="0"/>
          <w:sz w:val="24"/>
          <w:szCs w:val="24"/>
          <w:shd w:val="clear" w:fill="FFFFFF"/>
        </w:rPr>
        <w:t>25%</w:t>
      </w:r>
      <w:r>
        <w:rPr>
          <w:rFonts w:hint="eastAsia" w:ascii="宋体" w:hAnsi="宋体" w:eastAsia="宋体" w:cs="宋体"/>
          <w:i w:val="0"/>
          <w:iCs w:val="0"/>
          <w:caps w:val="0"/>
          <w:color w:val="auto"/>
          <w:spacing w:val="0"/>
          <w:sz w:val="24"/>
          <w:szCs w:val="24"/>
          <w:shd w:val="clear" w:fill="FFFFFF"/>
        </w:rPr>
        <w:t>），并且安置的残疾人人数不少于</w:t>
      </w:r>
      <w:r>
        <w:rPr>
          <w:rFonts w:hint="default" w:ascii="Calibri" w:hAnsi="Calibri" w:eastAsia="微软雅黑"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人（含</w:t>
      </w:r>
      <w:r>
        <w:rPr>
          <w:rFonts w:hint="default" w:ascii="Calibri" w:hAnsi="Calibri" w:eastAsia="微软雅黑"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人）；</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②依法与安置的每位残疾人签订了一年以上（含一年）的劳动合同或服务协议；</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③为安置的每位残疾人按月足额缴纳了基本养老保险、基本医疗保险、失业保险、工伤保险和生育保险等社会保险费；</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④通过银行等金融机构向安置的每位残疾人，按月支付了不低于单位所在区县适用的经省级人民政府批准的月最低工资标准的工资；</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⑤提供本单位制造的货物、承担的工程或服务，或提供其他残疾人福利性单位制造的货物（不包括使用非残疾人福利性单位注册商标的货物）。</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前款所称残疾人指法定劳动年龄内，持有《中华人民共和国残疾人证》或《中华人民共和国残疾军人证（1至</w:t>
      </w:r>
      <w:r>
        <w:rPr>
          <w:rFonts w:hint="default" w:ascii="Calibri" w:hAnsi="Calibri" w:eastAsia="微软雅黑" w:cs="Calibri"/>
          <w:i w:val="0"/>
          <w:iCs w:val="0"/>
          <w:caps w:val="0"/>
          <w:color w:val="auto"/>
          <w:spacing w:val="0"/>
          <w:sz w:val="24"/>
          <w:szCs w:val="24"/>
          <w:shd w:val="clear" w:fill="FFFFFF"/>
        </w:rPr>
        <w:t>8</w:t>
      </w:r>
      <w:r>
        <w:rPr>
          <w:rFonts w:hint="eastAsia" w:ascii="宋体" w:hAnsi="宋体" w:eastAsia="宋体" w:cs="宋体"/>
          <w:i w:val="0"/>
          <w:iCs w:val="0"/>
          <w:caps w:val="0"/>
          <w:color w:val="auto"/>
          <w:spacing w:val="0"/>
          <w:sz w:val="24"/>
          <w:szCs w:val="24"/>
          <w:shd w:val="clear" w:fill="FFFFFF"/>
        </w:rPr>
        <w:t>级）》的自然人，包括具有劳动条件和劳动意愿的精神残疾人。在职职工人数是指与残疾人福利性单位建立劳动关系并依法签订劳动合同或服务协议的雇员人数。</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宋体" w:hAnsi="宋体" w:eastAsia="宋体" w:cs="宋体"/>
          <w:b/>
          <w:bCs/>
          <w:i w:val="0"/>
          <w:iCs w:val="0"/>
          <w:caps w:val="0"/>
          <w:color w:val="auto"/>
          <w:spacing w:val="0"/>
          <w:sz w:val="19"/>
          <w:szCs w:val="19"/>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17.5信用记录指由财政部确定的有关网站提供的相关主体信用信息。信用记录的查询及使用应符合财政部文件（财库</w:t>
      </w:r>
      <w:r>
        <w:rPr>
          <w:rFonts w:hint="default" w:ascii="Calibri" w:hAnsi="Calibri" w:eastAsia="微软雅黑" w:cs="Calibri"/>
          <w:i w:val="0"/>
          <w:iCs w:val="0"/>
          <w:caps w:val="0"/>
          <w:color w:val="auto"/>
          <w:spacing w:val="0"/>
          <w:sz w:val="24"/>
          <w:szCs w:val="24"/>
          <w:shd w:val="clear" w:fill="FFFFFF"/>
        </w:rPr>
        <w:t>[2016]125</w:t>
      </w:r>
      <w:r>
        <w:rPr>
          <w:rFonts w:hint="eastAsia" w:ascii="宋体" w:hAnsi="宋体" w:eastAsia="宋体" w:cs="宋体"/>
          <w:i w:val="0"/>
          <w:iCs w:val="0"/>
          <w:caps w:val="0"/>
          <w:color w:val="auto"/>
          <w:spacing w:val="0"/>
          <w:sz w:val="24"/>
          <w:szCs w:val="24"/>
          <w:shd w:val="clear" w:fill="FFFFFF"/>
        </w:rPr>
        <w:t>号）规定。</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17.6为落实政府采购政策需满足的要求：详见招标文件第一章。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九、本项目的有关信息</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18.1指定媒体：详见招标文件第二章。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18.2本项目的潜在投标人或投标人应随时关注指定媒体，否则产生不利后果由其自行承担。</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十、其他事项</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19、其他事项：</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19"/>
          <w:szCs w:val="19"/>
          <w:shd w:val="clear" w:fill="FFFFFF"/>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19"/>
          <w:szCs w:val="19"/>
          <w:shd w:val="clear" w:fill="FFFFFF"/>
        </w:rPr>
        <w:t>   19.2其他：详见招标文件第二章。</w:t>
      </w:r>
    </w:p>
    <w:p>
      <w:pPr>
        <w:pStyle w:val="8"/>
        <w:keepNext w:val="0"/>
        <w:keepLines w:val="0"/>
        <w:widowControl/>
        <w:suppressLineNumbers w:val="0"/>
        <w:spacing w:before="76" w:beforeAutospacing="0" w:after="240" w:afterAutospacing="0"/>
        <w:ind w:left="-362" w:right="-362" w:firstLine="0"/>
        <w:rPr>
          <w:color w:val="auto"/>
        </w:rPr>
      </w:pPr>
    </w:p>
    <w:p>
      <w:pPr>
        <w:pStyle w:val="8"/>
        <w:keepNext w:val="0"/>
        <w:keepLines w:val="0"/>
        <w:widowControl/>
        <w:suppressLineNumbers w:val="0"/>
        <w:spacing w:before="76" w:beforeAutospacing="0" w:after="76" w:afterAutospacing="0"/>
        <w:ind w:left="-362" w:right="-362" w:firstLine="0"/>
        <w:jc w:val="center"/>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240" w:afterAutospacing="0"/>
        <w:ind w:left="-362" w:right="-362" w:firstLine="0"/>
        <w:rPr>
          <w:color w:val="auto"/>
        </w:rPr>
      </w:pPr>
      <w:r>
        <w:rPr>
          <w:rFonts w:hint="default" w:ascii="Calibri" w:hAnsi="Calibri" w:eastAsia="微软雅黑" w:cs="Calibri"/>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31"/>
          <w:szCs w:val="31"/>
          <w:shd w:val="clear" w:fill="FFFFFF"/>
        </w:rPr>
        <w:t>第四章   资格审查与评标</w:t>
      </w:r>
    </w:p>
    <w:p>
      <w:pPr>
        <w:pStyle w:val="8"/>
        <w:keepNext w:val="0"/>
        <w:keepLines w:val="0"/>
        <w:widowControl/>
        <w:suppressLineNumbers w:val="0"/>
        <w:spacing w:before="76" w:beforeAutospacing="0" w:after="76" w:afterAutospacing="0"/>
        <w:ind w:left="-362" w:right="-362" w:firstLine="0"/>
        <w:jc w:val="center"/>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一、资格审查</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1、开标结束后，由</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负责资格审查小组的组建及资格审查工作的组织。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1.1资格审查小组由</w:t>
      </w:r>
      <w:r>
        <w:rPr>
          <w:rFonts w:hint="default" w:ascii="Calibri" w:hAnsi="Calibri" w:eastAsia="微软雅黑"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人组成，并负责具体审查事务，其中：由采购人派出的采购人代表至少</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shd w:val="clear" w:fill="FFFFFF"/>
        </w:rPr>
        <w:t>人，由</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派出的工作人员至少</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shd w:val="clear" w:fill="FFFFFF"/>
        </w:rPr>
        <w:t>人，其余</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shd w:val="clear" w:fill="FFFFFF"/>
        </w:rPr>
        <w:t>人可为采购人代表或</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的工作人员。</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1.2资格审查的依据是招标文件和投标文件。</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1.3资格审查的范围及内容：投标文件（资格及资信证明部分），具体如下：</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  （1）</w:t>
      </w:r>
      <w:r>
        <w:rPr>
          <w:rFonts w:hint="eastAsia" w:ascii="宋体" w:hAnsi="宋体" w:eastAsia="宋体" w:cs="宋体"/>
          <w:i w:val="0"/>
          <w:iCs w:val="0"/>
          <w:caps w:val="0"/>
          <w:color w:val="auto"/>
          <w:spacing w:val="0"/>
          <w:sz w:val="19"/>
          <w:szCs w:val="19"/>
          <w:shd w:val="clear" w:fill="FFFFFF"/>
        </w:rPr>
        <w:t>“投标函”；</w:t>
      </w:r>
      <w:r>
        <w:rPr>
          <w:rFonts w:hint="eastAsia" w:ascii="宋体" w:hAnsi="宋体" w:eastAsia="宋体" w:cs="宋体"/>
          <w:i w:val="0"/>
          <w:iCs w:val="0"/>
          <w:caps w:val="0"/>
          <w:color w:val="auto"/>
          <w:spacing w:val="0"/>
          <w:sz w:val="19"/>
          <w:szCs w:val="19"/>
          <w:shd w:val="clear" w:fill="FFFFFF"/>
        </w:rPr>
        <w:br w:type="textWrapping"/>
      </w:r>
      <w:r>
        <w:rPr>
          <w:rFonts w:hint="eastAsia" w:ascii="宋体" w:hAnsi="宋体" w:eastAsia="宋体" w:cs="宋体"/>
          <w:i w:val="0"/>
          <w:iCs w:val="0"/>
          <w:caps w:val="0"/>
          <w:color w:val="auto"/>
          <w:spacing w:val="0"/>
          <w:sz w:val="19"/>
          <w:szCs w:val="19"/>
          <w:shd w:val="clear" w:fill="FFFFFF"/>
        </w:rPr>
        <w:t>  （2）“投标人的资格及资信证明文件”</w:t>
      </w:r>
      <w:r>
        <w:rPr>
          <w:rFonts w:hint="eastAsia" w:ascii="宋体" w:hAnsi="宋体" w:eastAsia="宋体" w:cs="宋体"/>
          <w:i w:val="0"/>
          <w:iCs w:val="0"/>
          <w:caps w:val="0"/>
          <w:color w:val="auto"/>
          <w:spacing w:val="0"/>
          <w:sz w:val="19"/>
          <w:szCs w:val="19"/>
          <w:shd w:val="clear" w:fill="FFFFFF"/>
        </w:rPr>
        <w:br w:type="textWrapping"/>
      </w:r>
      <w:r>
        <w:rPr>
          <w:rFonts w:hint="eastAsia" w:ascii="宋体" w:hAnsi="宋体" w:eastAsia="宋体" w:cs="宋体"/>
          <w:i w:val="0"/>
          <w:iCs w:val="0"/>
          <w:caps w:val="0"/>
          <w:color w:val="auto"/>
          <w:spacing w:val="0"/>
          <w:sz w:val="19"/>
          <w:szCs w:val="19"/>
          <w:shd w:val="clear" w:fill="FFFFFF"/>
        </w:rPr>
        <w:t>   ①一般资格证明文件：</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87"/>
        <w:gridCol w:w="462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（1）单位授权书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（3）提供财务状况报告（财务报告、或资信证明）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（5）依法缴纳社会保障资金证明材料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（6）具备履行合同所必需设备和专业技术能力的声明函(若有)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（7）参加采购活动前三年内在经营活动中没有重大违法记录的声明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（8）信用记录查询结果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（9）中小企业声明函（以资格条件落实中小企业扶持政策时适用 ）</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（10）联合体协议（若有）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①招标文件接受联合体投标且投标人为联合体的，投标人应提供本协议；否则无须提供。 ②本协议由委托代理人签字或盖章的，应按照招标文件第七章载明的格式提供“单位授权书”。</w:t>
            </w:r>
          </w:p>
        </w:tc>
      </w:tr>
    </w:tbl>
    <w:p>
      <w:pPr>
        <w:keepNext w:val="0"/>
        <w:keepLines w:val="0"/>
        <w:widowControl/>
        <w:suppressLineNumbers w:val="0"/>
        <w:spacing w:before="0" w:beforeAutospacing="0" w:after="0" w:afterAutospacing="0"/>
        <w:ind w:left="-362" w:right="-362"/>
        <w:jc w:val="left"/>
        <w:rPr>
          <w:color w:val="auto"/>
        </w:rPr>
      </w:pPr>
      <w:r>
        <w:rPr>
          <w:rFonts w:hint="eastAsia" w:ascii="微软雅黑" w:hAnsi="微软雅黑" w:eastAsia="微软雅黑" w:cs="微软雅黑"/>
          <w:i w:val="0"/>
          <w:iCs w:val="0"/>
          <w:caps w:val="0"/>
          <w:color w:val="auto"/>
          <w:spacing w:val="0"/>
          <w:kern w:val="0"/>
          <w:sz w:val="19"/>
          <w:szCs w:val="19"/>
          <w:shd w:val="clear" w:fill="FFFFFF"/>
          <w:lang w:val="en-US" w:eastAsia="zh-CN" w:bidi="ar"/>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※备注说明</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①投标人应根据自身实际情况提供上述资格要求的证明材料，格式可参考招标文件第七章提供。</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②投标人提供的相应证明材料复印件均应符合：内容完整、清晰、整洁，并由投标人加盖其单位公章。</w:t>
      </w:r>
    </w:p>
    <w:p>
      <w:pPr>
        <w:pStyle w:val="8"/>
        <w:keepNext w:val="0"/>
        <w:keepLines w:val="0"/>
        <w:widowControl/>
        <w:suppressLineNumbers w:val="0"/>
        <w:spacing w:before="0" w:beforeAutospacing="0" w:after="150" w:afterAutospacing="0"/>
        <w:ind w:left="-362" w:right="-362"/>
        <w:rPr>
          <w:color w:val="auto"/>
        </w:rPr>
      </w:pPr>
      <w:r>
        <w:rPr>
          <w:rFonts w:hint="eastAsia" w:ascii="微软雅黑" w:hAnsi="微软雅黑" w:eastAsia="微软雅黑" w:cs="微软雅黑"/>
          <w:i w:val="0"/>
          <w:iCs w:val="0"/>
          <w:caps w:val="0"/>
          <w:color w:val="auto"/>
          <w:spacing w:val="0"/>
          <w:sz w:val="19"/>
          <w:szCs w:val="19"/>
          <w:shd w:val="clear" w:fill="FFFFFF"/>
        </w:rPr>
        <w:br w:type="textWrapping"/>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19"/>
          <w:szCs w:val="19"/>
          <w:shd w:val="clear" w:fill="FFFFFF"/>
        </w:rPr>
        <w:t>   ②.其他资格证明文件：</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微软雅黑" w:hAnsi="微软雅黑" w:eastAsia="微软雅黑" w:cs="微软雅黑"/>
          <w:b/>
          <w:bCs/>
          <w:i w:val="0"/>
          <w:iCs w:val="0"/>
          <w:caps w:val="0"/>
          <w:color w:val="auto"/>
          <w:spacing w:val="0"/>
          <w:sz w:val="24"/>
          <w:szCs w:val="24"/>
          <w:shd w:val="clear" w:fill="FFFFFF"/>
        </w:rPr>
        <w:t>包：1</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87"/>
        <w:gridCol w:w="462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①具备履行合同所必需的设备:投标人提供办公场所的场地证明材料（属于自有产权的提供产权证复印件；非自有产权的提供场地租赁合同复印件，租赁期限不少于一年）； ②具备专业技术能力：提供有效期内的电子与智能化工程专业承包贰级及以上资质证书和负责本项目的主要人员的名单、联系电话及人员相关证书。</w:t>
            </w:r>
          </w:p>
        </w:tc>
      </w:tr>
    </w:tbl>
    <w:p>
      <w:pPr>
        <w:keepNext w:val="0"/>
        <w:keepLines w:val="0"/>
        <w:widowControl/>
        <w:suppressLineNumbers w:val="0"/>
        <w:spacing w:before="0" w:beforeAutospacing="0" w:after="0" w:afterAutospacing="0"/>
        <w:ind w:left="-362" w:right="-362"/>
        <w:jc w:val="left"/>
        <w:rPr>
          <w:color w:val="auto"/>
        </w:rPr>
      </w:pPr>
      <w:r>
        <w:rPr>
          <w:rFonts w:hint="eastAsia" w:ascii="微软雅黑" w:hAnsi="微软雅黑" w:eastAsia="微软雅黑" w:cs="微软雅黑"/>
          <w:i w:val="0"/>
          <w:iCs w:val="0"/>
          <w:caps w:val="0"/>
          <w:color w:val="auto"/>
          <w:spacing w:val="0"/>
          <w:kern w:val="0"/>
          <w:sz w:val="19"/>
          <w:szCs w:val="19"/>
          <w:shd w:val="clear" w:fill="FFFFFF"/>
          <w:lang w:val="en-US" w:eastAsia="zh-CN" w:bidi="ar"/>
        </w:rPr>
        <w:br w:type="textWrapping"/>
      </w:r>
      <w:r>
        <w:rPr>
          <w:rFonts w:hint="eastAsia" w:ascii="宋体" w:hAnsi="宋体" w:eastAsia="宋体" w:cs="宋体"/>
          <w:i w:val="0"/>
          <w:iCs w:val="0"/>
          <w:caps w:val="0"/>
          <w:color w:val="auto"/>
          <w:spacing w:val="0"/>
          <w:kern w:val="0"/>
          <w:sz w:val="19"/>
          <w:szCs w:val="19"/>
          <w:shd w:val="clear" w:fill="FFFFFF"/>
          <w:lang w:val="en-US" w:eastAsia="zh-CN" w:bidi="ar"/>
        </w:rPr>
        <w:t>  （3）投标保证金。</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1.4有下列情形之一的，</w:t>
      </w:r>
      <w:r>
        <w:rPr>
          <w:rStyle w:val="11"/>
          <w:rFonts w:hint="eastAsia" w:ascii="宋体" w:hAnsi="宋体" w:eastAsia="宋体" w:cs="宋体"/>
          <w:b/>
          <w:bCs/>
          <w:i w:val="0"/>
          <w:iCs w:val="0"/>
          <w:caps w:val="0"/>
          <w:color w:val="auto"/>
          <w:spacing w:val="0"/>
          <w:sz w:val="24"/>
          <w:szCs w:val="24"/>
          <w:shd w:val="clear" w:fill="FFFFFF"/>
        </w:rPr>
        <w:t>资格审查不合格：</w:t>
      </w:r>
      <w:r>
        <w:rPr>
          <w:rStyle w:val="11"/>
          <w:rFonts w:hint="eastAsia" w:ascii="宋体" w:hAnsi="宋体" w:eastAsia="宋体" w:cs="宋体"/>
          <w:b/>
          <w:bCs/>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19"/>
          <w:szCs w:val="19"/>
          <w:shd w:val="clear" w:fill="FFFFFF"/>
        </w:rPr>
        <w:t>  （1）一般情形：</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未按照招标文件规定提交投标保证金</w:t>
            </w:r>
          </w:p>
        </w:tc>
      </w:tr>
    </w:tbl>
    <w:p>
      <w:pPr>
        <w:keepNext w:val="0"/>
        <w:keepLines w:val="0"/>
        <w:widowControl/>
        <w:suppressLineNumbers w:val="0"/>
        <w:spacing w:before="0" w:beforeAutospacing="0" w:after="0" w:afterAutospacing="0"/>
        <w:ind w:left="-362" w:right="-362"/>
        <w:jc w:val="left"/>
        <w:rPr>
          <w:color w:val="auto"/>
        </w:rPr>
      </w:pPr>
      <w:r>
        <w:rPr>
          <w:rFonts w:hint="eastAsia" w:ascii="微软雅黑" w:hAnsi="微软雅黑" w:eastAsia="微软雅黑" w:cs="微软雅黑"/>
          <w:i w:val="0"/>
          <w:iCs w:val="0"/>
          <w:caps w:val="0"/>
          <w:color w:val="auto"/>
          <w:spacing w:val="0"/>
          <w:kern w:val="0"/>
          <w:sz w:val="19"/>
          <w:szCs w:val="19"/>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19"/>
          <w:szCs w:val="19"/>
          <w:shd w:val="clear" w:fill="FFFFFF"/>
          <w:lang w:val="en-US" w:eastAsia="zh-CN" w:bidi="ar"/>
        </w:rPr>
        <w:t>  （2）本项目规定的其他情形：</w:t>
      </w:r>
    </w:p>
    <w:p>
      <w:pPr>
        <w:pStyle w:val="8"/>
        <w:keepNext w:val="0"/>
        <w:keepLines w:val="0"/>
        <w:widowControl/>
        <w:suppressLineNumbers w:val="0"/>
        <w:spacing w:before="0" w:beforeAutospacing="0" w:after="150" w:afterAutospacing="0"/>
        <w:ind w:left="-362" w:right="-362" w:firstLine="480"/>
        <w:rPr>
          <w:color w:val="auto"/>
        </w:rPr>
      </w:pPr>
      <w:r>
        <w:rPr>
          <w:rStyle w:val="11"/>
          <w:rFonts w:hint="eastAsia" w:ascii="微软雅黑" w:hAnsi="微软雅黑" w:eastAsia="微软雅黑" w:cs="微软雅黑"/>
          <w:b/>
          <w:bCs/>
          <w:i w:val="0"/>
          <w:iCs w:val="0"/>
          <w:caps w:val="0"/>
          <w:color w:val="auto"/>
          <w:spacing w:val="0"/>
          <w:sz w:val="19"/>
          <w:szCs w:val="19"/>
          <w:shd w:val="clear" w:fill="FFFFFF"/>
        </w:rPr>
        <w:t>包：1</w:t>
      </w:r>
      <w:r>
        <w:rPr>
          <w:rFonts w:hint="eastAsia" w:ascii="微软雅黑" w:hAnsi="微软雅黑" w:eastAsia="微软雅黑" w:cs="微软雅黑"/>
          <w:i w:val="0"/>
          <w:iCs w:val="0"/>
          <w:caps w:val="0"/>
          <w:color w:val="auto"/>
          <w:spacing w:val="0"/>
          <w:sz w:val="19"/>
          <w:szCs w:val="19"/>
          <w:shd w:val="clear" w:fill="FFFFFF"/>
        </w:rPr>
        <w:br w:type="textWrapping"/>
      </w:r>
      <w:r>
        <w:rPr>
          <w:rStyle w:val="11"/>
          <w:rFonts w:hint="eastAsia" w:ascii="微软雅黑" w:hAnsi="微软雅黑" w:eastAsia="微软雅黑" w:cs="微软雅黑"/>
          <w:b/>
          <w:bCs/>
          <w:i w:val="0"/>
          <w:iCs w:val="0"/>
          <w:caps w:val="0"/>
          <w:color w:val="auto"/>
          <w:spacing w:val="0"/>
          <w:sz w:val="24"/>
          <w:szCs w:val="24"/>
          <w:shd w:val="clear" w:fill="FFFFFF"/>
        </w:rPr>
        <w:t>         无</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eastAsia="微软雅黑" w:cs="Calibri"/>
          <w:i w:val="0"/>
          <w:iCs w:val="0"/>
          <w:caps w:val="0"/>
          <w:color w:val="auto"/>
          <w:spacing w:val="0"/>
          <w:sz w:val="24"/>
          <w:szCs w:val="24"/>
          <w:shd w:val="clear" w:fill="FFFFFF"/>
        </w:rPr>
        <w:t>1.2</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1.3</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1.4</w:t>
      </w:r>
      <w:r>
        <w:rPr>
          <w:rFonts w:hint="eastAsia" w:ascii="宋体" w:hAnsi="宋体" w:eastAsia="宋体" w:cs="宋体"/>
          <w:i w:val="0"/>
          <w:iCs w:val="0"/>
          <w:caps w:val="0"/>
          <w:color w:val="auto"/>
          <w:spacing w:val="0"/>
          <w:sz w:val="24"/>
          <w:szCs w:val="24"/>
          <w:shd w:val="clear" w:fill="FFFFFF"/>
        </w:rPr>
        <w:t>条规定进行资格审查。</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2、资格审查情况不得私自外泄，有关信息由</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统一对外发布。</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3、资格审查合格的投标人不足三家的，不进行评标。同时，本次采购活动结束，</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将依法组织后续采购活动（包括但不限于：重新招标、采用其他方式采购等）。</w:t>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二、评标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4、</w:t>
      </w:r>
      <w:r>
        <w:rPr>
          <w:rFonts w:hint="eastAsia" w:ascii="宋体" w:hAnsi="宋体" w:eastAsia="宋体" w:cs="宋体"/>
          <w:i w:val="0"/>
          <w:iCs w:val="0"/>
          <w:caps w:val="0"/>
          <w:color w:val="auto"/>
          <w:spacing w:val="0"/>
          <w:sz w:val="19"/>
          <w:szCs w:val="19"/>
          <w:shd w:val="clear" w:fill="FFFFFF"/>
        </w:rPr>
        <w:t>资格审查结束后，由宁德市恒福招标有限公司负责评标委员会的组建及评标工作的组织。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5、评标委员会</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5.1评标委员会由采购人代表和评标专家两部分共</w:t>
      </w:r>
      <w:r>
        <w:rPr>
          <w:rFonts w:hint="eastAsia" w:ascii="宋体" w:hAnsi="宋体" w:eastAsia="宋体" w:cs="宋体"/>
          <w:i w:val="0"/>
          <w:iCs w:val="0"/>
          <w:caps w:val="0"/>
          <w:color w:val="auto"/>
          <w:spacing w:val="0"/>
          <w:sz w:val="24"/>
          <w:szCs w:val="24"/>
          <w:u w:val="single"/>
          <w:shd w:val="clear" w:fill="FFFFFF"/>
        </w:rPr>
        <w:t>7</w:t>
      </w:r>
      <w:r>
        <w:rPr>
          <w:rFonts w:hint="eastAsia" w:ascii="宋体" w:hAnsi="宋体" w:eastAsia="宋体" w:cs="宋体"/>
          <w:i w:val="0"/>
          <w:iCs w:val="0"/>
          <w:caps w:val="0"/>
          <w:color w:val="auto"/>
          <w:spacing w:val="0"/>
          <w:sz w:val="24"/>
          <w:szCs w:val="24"/>
          <w:shd w:val="clear" w:fill="FFFFFF"/>
        </w:rPr>
        <w:t>人（以下简称“评委”）组成，其中：由采购人派出的采购人代表</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shd w:val="clear" w:fill="FFFFFF"/>
        </w:rPr>
        <w:t>人，由福建省政府采购评审专家库产生的评标专家</w:t>
      </w:r>
      <w:r>
        <w:rPr>
          <w:rFonts w:hint="eastAsia" w:ascii="宋体" w:hAnsi="宋体" w:eastAsia="宋体" w:cs="宋体"/>
          <w:i w:val="0"/>
          <w:iCs w:val="0"/>
          <w:caps w:val="0"/>
          <w:color w:val="auto"/>
          <w:spacing w:val="0"/>
          <w:sz w:val="24"/>
          <w:szCs w:val="24"/>
          <w:u w:val="single"/>
          <w:shd w:val="clear" w:fill="FFFFFF"/>
        </w:rPr>
        <w:t>6</w:t>
      </w:r>
      <w:r>
        <w:rPr>
          <w:rFonts w:hint="eastAsia" w:ascii="宋体" w:hAnsi="宋体" w:eastAsia="宋体" w:cs="宋体"/>
          <w:i w:val="0"/>
          <w:iCs w:val="0"/>
          <w:caps w:val="0"/>
          <w:color w:val="auto"/>
          <w:spacing w:val="0"/>
          <w:sz w:val="24"/>
          <w:szCs w:val="24"/>
          <w:shd w:val="clear" w:fill="FFFFFF"/>
        </w:rPr>
        <w:t>人。</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5.2评标委员会负责具体评标事务，并按照下列原则依法独立履行有关职责：</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（1）评标应保护国家利益、社会公共利益和各方当事人合法权益，提高采购效益，保证项目质量。</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（2）评标应遵循公平、公正、科学、严谨和择优原则。</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（3）评标的依据是招标文件和投标文件。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（4）应按照招标文件规定推荐中标候选人或确定中标人。</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（5）评标应遵守下列评标纪律：</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①评标情况不得私自外泄，有关信息由</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统一对外发布。</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②对</w:t>
      </w:r>
      <w:r>
        <w:rPr>
          <w:rFonts w:hint="eastAsia" w:ascii="宋体" w:hAnsi="宋体" w:eastAsia="宋体" w:cs="宋体"/>
          <w:i w:val="0"/>
          <w:iCs w:val="0"/>
          <w:caps w:val="0"/>
          <w:color w:val="auto"/>
          <w:spacing w:val="0"/>
          <w:sz w:val="24"/>
          <w:szCs w:val="24"/>
          <w:u w:val="single"/>
          <w:shd w:val="clear" w:fill="FFFFFF"/>
        </w:rPr>
        <w:t>宁德市恒福招标有限公司</w:t>
      </w:r>
      <w:r>
        <w:rPr>
          <w:rFonts w:hint="eastAsia" w:ascii="宋体" w:hAnsi="宋体" w:eastAsia="宋体" w:cs="宋体"/>
          <w:i w:val="0"/>
          <w:iCs w:val="0"/>
          <w:caps w:val="0"/>
          <w:color w:val="auto"/>
          <w:spacing w:val="0"/>
          <w:sz w:val="24"/>
          <w:szCs w:val="24"/>
          <w:shd w:val="clear" w:fill="FFFFFF"/>
        </w:rPr>
        <w:t>或投标人提供的要求保密的资料，不得摘记翻印和外传。</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③不得收受投标人或有关人员的任何礼物，不得串联鼓动其他人袒护某投标人。若与投标人存在利害关系，则应主动声明并回避。</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④全体评委应按照招标文件规定进行评标，一切认定事项应查有实据且不得弄虚作假。</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⑤评标中应充分发扬民主，推荐中标候选人或确定中标人后要服从评标报告。</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※对违反评标纪律的评委，将取消其评委资格，对评标工作造成严重损失者将予以通报批评乃至追究法律责任。</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6、评标程序</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6.1评标前的准备工作</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（1）全体评委应认真审阅招标文件，了解评委应履行或遵守的职责、义务和评标纪律。</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6.2符合性审查</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（1）评标委员会依据招标文件的实质性要求，对通过资格审查的投标文件进行符合性审查，以确定其是否满足招标文件的实质性要求。</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（2）满足招标文件的实质性要求指投标文件对招标文件实质性要求的响应不存在重大偏差或保留。</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（5）评标委员会对所有投标人都执行相同的程序和标准。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（6）有下列情形之一的，</w:t>
      </w:r>
      <w:r>
        <w:rPr>
          <w:rStyle w:val="11"/>
          <w:rFonts w:hint="eastAsia" w:ascii="宋体" w:hAnsi="宋体" w:eastAsia="宋体" w:cs="宋体"/>
          <w:b/>
          <w:bCs/>
          <w:i w:val="0"/>
          <w:iCs w:val="0"/>
          <w:caps w:val="0"/>
          <w:color w:val="auto"/>
          <w:spacing w:val="0"/>
          <w:sz w:val="24"/>
          <w:szCs w:val="24"/>
          <w:shd w:val="clear" w:fill="FFFFFF"/>
        </w:rPr>
        <w:t>符合性审查不合格：</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①项目一般情形：</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投标文件对招标文件实质性要求的响应存在重大偏离或保留。</w:t>
            </w:r>
          </w:p>
        </w:tc>
      </w:tr>
    </w:tbl>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②本项目规定的其他情形：</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包：1</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包一般情形</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投标人所投产品若属于国家有强制性要求或认证的（如节能、3C认证等），必须提供规定的产品并提供相关的证明文件或证书，否则视为无效投标。</w:t>
            </w:r>
          </w:p>
        </w:tc>
      </w:tr>
    </w:tbl>
    <w:p>
      <w:pPr>
        <w:keepNext w:val="0"/>
        <w:keepLines w:val="0"/>
        <w:widowControl/>
        <w:suppressLineNumbers w:val="0"/>
        <w:spacing w:before="0" w:beforeAutospacing="0" w:after="0" w:afterAutospacing="0"/>
        <w:ind w:left="-362" w:right="-362"/>
        <w:jc w:val="left"/>
        <w:rPr>
          <w:color w:val="auto"/>
        </w:rPr>
      </w:pPr>
      <w:r>
        <w:rPr>
          <w:rFonts w:hint="eastAsia" w:ascii="微软雅黑" w:hAnsi="微软雅黑" w:eastAsia="微软雅黑" w:cs="微软雅黑"/>
          <w:i w:val="0"/>
          <w:iCs w:val="0"/>
          <w:caps w:val="0"/>
          <w:color w:val="auto"/>
          <w:spacing w:val="0"/>
          <w:kern w:val="0"/>
          <w:sz w:val="19"/>
          <w:szCs w:val="19"/>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19"/>
          <w:szCs w:val="19"/>
          <w:shd w:val="clear" w:fill="FFFFFF"/>
          <w:lang w:val="en-US" w:eastAsia="zh-CN" w:bidi="ar"/>
        </w:rPr>
        <w:t>技术符合性</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投标人技术部分得分少于技术部分总分50%的作为无效标处理；</w:t>
            </w:r>
          </w:p>
        </w:tc>
      </w:tr>
    </w:tbl>
    <w:p>
      <w:pPr>
        <w:keepNext w:val="0"/>
        <w:keepLines w:val="0"/>
        <w:widowControl/>
        <w:suppressLineNumbers w:val="0"/>
        <w:spacing w:before="0" w:beforeAutospacing="0" w:after="0" w:afterAutospacing="0"/>
        <w:ind w:left="-362" w:right="-362"/>
        <w:jc w:val="left"/>
        <w:rPr>
          <w:color w:val="auto"/>
        </w:rPr>
      </w:pPr>
      <w:r>
        <w:rPr>
          <w:rFonts w:hint="eastAsia" w:ascii="微软雅黑" w:hAnsi="微软雅黑" w:eastAsia="微软雅黑" w:cs="微软雅黑"/>
          <w:i w:val="0"/>
          <w:iCs w:val="0"/>
          <w:caps w:val="0"/>
          <w:color w:val="auto"/>
          <w:spacing w:val="0"/>
          <w:kern w:val="0"/>
          <w:sz w:val="19"/>
          <w:szCs w:val="19"/>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19"/>
          <w:szCs w:val="19"/>
          <w:shd w:val="clear" w:fill="FFFFFF"/>
          <w:lang w:val="en-US" w:eastAsia="zh-CN" w:bidi="ar"/>
        </w:rPr>
        <w:t>商务符合性</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投标人承诺的第五章中三、商务条件不满足招标文件要求的，视为无效投标。</w:t>
            </w:r>
          </w:p>
        </w:tc>
      </w:tr>
    </w:tbl>
    <w:p>
      <w:pPr>
        <w:keepNext w:val="0"/>
        <w:keepLines w:val="0"/>
        <w:widowControl/>
        <w:suppressLineNumbers w:val="0"/>
        <w:spacing w:before="0" w:beforeAutospacing="0" w:after="0" w:afterAutospacing="0"/>
        <w:ind w:left="-362" w:right="-362"/>
        <w:jc w:val="left"/>
        <w:rPr>
          <w:color w:val="auto"/>
        </w:rPr>
      </w:pPr>
      <w:r>
        <w:rPr>
          <w:rFonts w:hint="eastAsia" w:ascii="微软雅黑" w:hAnsi="微软雅黑" w:eastAsia="微软雅黑" w:cs="微软雅黑"/>
          <w:i w:val="0"/>
          <w:iCs w:val="0"/>
          <w:caps w:val="0"/>
          <w:color w:val="auto"/>
          <w:spacing w:val="0"/>
          <w:kern w:val="0"/>
          <w:sz w:val="19"/>
          <w:szCs w:val="19"/>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19"/>
          <w:szCs w:val="19"/>
          <w:shd w:val="clear" w:fill="FFFFFF"/>
          <w:lang w:val="en-US" w:eastAsia="zh-CN" w:bidi="ar"/>
        </w:rPr>
        <w:t>附加符合性</w:t>
      </w:r>
      <w:r>
        <w:rPr>
          <w:rFonts w:hint="eastAsia" w:ascii="微软雅黑" w:hAnsi="微软雅黑" w:eastAsia="微软雅黑" w:cs="微软雅黑"/>
          <w:i w:val="0"/>
          <w:iCs w:val="0"/>
          <w:caps w:val="0"/>
          <w:color w:val="auto"/>
          <w:spacing w:val="0"/>
          <w:kern w:val="0"/>
          <w:sz w:val="19"/>
          <w:szCs w:val="19"/>
          <w:shd w:val="clear" w:fill="FFFFFF"/>
          <w:lang w:val="en-US" w:eastAsia="zh-CN" w:bidi="ar"/>
        </w:rPr>
        <w:br w:type="textWrapping"/>
      </w:r>
      <w:r>
        <w:rPr>
          <w:rStyle w:val="11"/>
          <w:rFonts w:hint="eastAsia" w:ascii="微软雅黑" w:hAnsi="微软雅黑" w:eastAsia="微软雅黑" w:cs="微软雅黑"/>
          <w:b/>
          <w:bCs/>
          <w:i w:val="0"/>
          <w:iCs w:val="0"/>
          <w:caps w:val="0"/>
          <w:color w:val="auto"/>
          <w:spacing w:val="0"/>
          <w:kern w:val="0"/>
          <w:sz w:val="24"/>
          <w:szCs w:val="24"/>
          <w:shd w:val="clear" w:fill="FFFFFF"/>
          <w:lang w:val="en-US" w:eastAsia="zh-CN" w:bidi="ar"/>
        </w:rPr>
        <w:t>         无</w:t>
      </w:r>
      <w:r>
        <w:rPr>
          <w:rFonts w:hint="eastAsia" w:ascii="微软雅黑" w:hAnsi="微软雅黑" w:eastAsia="微软雅黑" w:cs="微软雅黑"/>
          <w:i w:val="0"/>
          <w:iCs w:val="0"/>
          <w:caps w:val="0"/>
          <w:color w:val="auto"/>
          <w:spacing w:val="0"/>
          <w:kern w:val="0"/>
          <w:sz w:val="19"/>
          <w:szCs w:val="19"/>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19"/>
          <w:szCs w:val="19"/>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19"/>
          <w:szCs w:val="19"/>
          <w:shd w:val="clear" w:fill="FFFFFF"/>
          <w:lang w:val="en-US" w:eastAsia="zh-CN" w:bidi="ar"/>
        </w:rPr>
        <w:t>价格符合性</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6.3澄清有关问题</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4"/>
          <w:szCs w:val="24"/>
          <w:shd w:val="clear" w:fill="FFFFFF"/>
        </w:rPr>
        <w:t>（1）对通过符合性审查的投标文件中含义不明确、同类问题表述不一致或有明显文字和计算错误的内容，评标委员会将以书面形式要求投标人作出必要的澄清、说明或补正。</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（3）投标文件报价出现前后不一致的，除招标文件另有规定外，按照下列规定修正：</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①开标一览表内容与投标文件中相应内容不一致的，以开标一览表为准；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②大写金额和小写金额不一致的，以大写金额为准；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③单价金额小数点或百分比有明显错位的，以开标一览表的总价为准，并修改单价；</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④总价金额与按照单价汇总金额不一致的，以单价金额计算结果为准。</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※同时出现两种以上不一致的，按照前款规定的顺序修正。修正后的报价应按照本章第</w:t>
      </w:r>
      <w:r>
        <w:rPr>
          <w:rStyle w:val="11"/>
          <w:rFonts w:hint="default" w:ascii="Calibri" w:hAnsi="Calibri" w:eastAsia="微软雅黑" w:cs="Calibri"/>
          <w:b/>
          <w:bCs/>
          <w:i w:val="0"/>
          <w:iCs w:val="0"/>
          <w:caps w:val="0"/>
          <w:color w:val="auto"/>
          <w:spacing w:val="0"/>
          <w:sz w:val="24"/>
          <w:szCs w:val="24"/>
          <w:shd w:val="clear" w:fill="FFFFFF"/>
        </w:rPr>
        <w:t>6.3</w:t>
      </w:r>
      <w:r>
        <w:rPr>
          <w:rStyle w:val="11"/>
          <w:rFonts w:hint="eastAsia" w:ascii="宋体" w:hAnsi="宋体" w:eastAsia="宋体" w:cs="宋体"/>
          <w:b/>
          <w:bCs/>
          <w:i w:val="0"/>
          <w:iCs w:val="0"/>
          <w:caps w:val="0"/>
          <w:color w:val="auto"/>
          <w:spacing w:val="0"/>
          <w:sz w:val="24"/>
          <w:szCs w:val="24"/>
          <w:shd w:val="clear" w:fill="FFFFFF"/>
        </w:rPr>
        <w:t>条第（</w:t>
      </w:r>
      <w:r>
        <w:rPr>
          <w:rStyle w:val="11"/>
          <w:rFonts w:hint="default" w:ascii="Calibri" w:hAnsi="Calibri" w:eastAsia="微软雅黑" w:cs="Calibri"/>
          <w:b/>
          <w:bCs/>
          <w:i w:val="0"/>
          <w:iCs w:val="0"/>
          <w:caps w:val="0"/>
          <w:color w:val="auto"/>
          <w:spacing w:val="0"/>
          <w:sz w:val="24"/>
          <w:szCs w:val="24"/>
          <w:shd w:val="clear" w:fill="FFFFFF"/>
        </w:rPr>
        <w:t>1</w:t>
      </w:r>
      <w:r>
        <w:rPr>
          <w:rStyle w:val="11"/>
          <w:rFonts w:hint="eastAsia" w:ascii="宋体" w:hAnsi="宋体" w:eastAsia="宋体" w:cs="宋体"/>
          <w:b/>
          <w:bCs/>
          <w:i w:val="0"/>
          <w:iCs w:val="0"/>
          <w:caps w:val="0"/>
          <w:color w:val="auto"/>
          <w:spacing w:val="0"/>
          <w:sz w:val="24"/>
          <w:szCs w:val="24"/>
          <w:shd w:val="clear" w:fill="FFFFFF"/>
        </w:rPr>
        <w:t>）、（</w:t>
      </w:r>
      <w:r>
        <w:rPr>
          <w:rStyle w:val="11"/>
          <w:rFonts w:hint="default" w:ascii="Calibri" w:hAnsi="Calibri" w:eastAsia="微软雅黑" w:cs="Calibri"/>
          <w:b/>
          <w:bCs/>
          <w:i w:val="0"/>
          <w:iCs w:val="0"/>
          <w:caps w:val="0"/>
          <w:color w:val="auto"/>
          <w:spacing w:val="0"/>
          <w:sz w:val="24"/>
          <w:szCs w:val="24"/>
          <w:shd w:val="clear" w:fill="FFFFFF"/>
        </w:rPr>
        <w:t>2</w:t>
      </w:r>
      <w:r>
        <w:rPr>
          <w:rStyle w:val="11"/>
          <w:rFonts w:hint="eastAsia" w:ascii="宋体" w:hAnsi="宋体" w:eastAsia="宋体" w:cs="宋体"/>
          <w:b/>
          <w:bCs/>
          <w:i w:val="0"/>
          <w:iCs w:val="0"/>
          <w:caps w:val="0"/>
          <w:color w:val="auto"/>
          <w:spacing w:val="0"/>
          <w:sz w:val="24"/>
          <w:szCs w:val="24"/>
          <w:shd w:val="clear" w:fill="FFFFFF"/>
        </w:rPr>
        <w:t>）款规定经投标人确认后产生约束力，投标人不确认的，其投标无效。</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（4）关于细微偏差</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（5）关于投标描述（即投标文件中描述的内容）</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①投标描述前后不一致且不涉及证明材料的：按照本章第</w:t>
      </w:r>
      <w:r>
        <w:rPr>
          <w:rFonts w:hint="default" w:ascii="Calibri" w:hAnsi="Calibri" w:eastAsia="微软雅黑" w:cs="Calibri"/>
          <w:i w:val="0"/>
          <w:iCs w:val="0"/>
          <w:caps w:val="0"/>
          <w:color w:val="auto"/>
          <w:spacing w:val="0"/>
          <w:sz w:val="24"/>
          <w:szCs w:val="24"/>
          <w:shd w:val="clear" w:fill="FFFFFF"/>
        </w:rPr>
        <w:t>6.3</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）款规定执行。</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②投标描述与证明材料不一致或多份证明材料之间不一致的：</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a.评标委员会将要求投标人进行书面澄清，并按照不利于投标人的内容进行评标。</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6.4比较与评价</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（1）按照本章第</w:t>
      </w:r>
      <w:r>
        <w:rPr>
          <w:rFonts w:hint="default" w:ascii="Calibri" w:hAnsi="Calibri" w:eastAsia="微软雅黑" w:cs="Calibri"/>
          <w:i w:val="0"/>
          <w:iCs w:val="0"/>
          <w:caps w:val="0"/>
          <w:color w:val="auto"/>
          <w:spacing w:val="0"/>
          <w:sz w:val="24"/>
          <w:szCs w:val="24"/>
          <w:shd w:val="clear" w:fill="FFFFFF"/>
        </w:rPr>
        <w:t>7</w:t>
      </w:r>
      <w:r>
        <w:rPr>
          <w:rFonts w:hint="eastAsia" w:ascii="宋体" w:hAnsi="宋体" w:eastAsia="宋体" w:cs="宋体"/>
          <w:i w:val="0"/>
          <w:iCs w:val="0"/>
          <w:caps w:val="0"/>
          <w:color w:val="auto"/>
          <w:spacing w:val="0"/>
          <w:sz w:val="24"/>
          <w:szCs w:val="24"/>
          <w:shd w:val="clear" w:fill="FFFFFF"/>
        </w:rPr>
        <w:t>条载明的评标方法和标准，对符合性审查合格的投标文件进行比较与评价。</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（2）关于相同品牌产品</w:t>
      </w:r>
      <w:r>
        <w:rPr>
          <w:rStyle w:val="11"/>
          <w:rFonts w:hint="eastAsia" w:ascii="宋体" w:hAnsi="宋体" w:eastAsia="宋体" w:cs="宋体"/>
          <w:b/>
          <w:bCs/>
          <w:i w:val="0"/>
          <w:iCs w:val="0"/>
          <w:caps w:val="0"/>
          <w:color w:val="auto"/>
          <w:spacing w:val="0"/>
          <w:sz w:val="24"/>
          <w:szCs w:val="24"/>
          <w:shd w:val="clear" w:fill="FFFFFF"/>
        </w:rPr>
        <w:t>（政府采购服务类项目不适用本条款规定）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a.招标文件规定的方式：</w:t>
      </w:r>
      <w:r>
        <w:rPr>
          <w:rFonts w:hint="eastAsia" w:ascii="微软雅黑" w:hAnsi="微软雅黑" w:eastAsia="微软雅黑" w:cs="微软雅黑"/>
          <w:i w:val="0"/>
          <w:iCs w:val="0"/>
          <w:caps w:val="0"/>
          <w:color w:val="auto"/>
          <w:spacing w:val="0"/>
          <w:sz w:val="24"/>
          <w:szCs w:val="24"/>
          <w:u w:val="single"/>
          <w:shd w:val="clear" w:fill="FFFFFF"/>
        </w:rPr>
        <w:t>无</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b.招标文件未规定的，采取随机抽取方式确定，其他</w:t>
      </w:r>
      <w:r>
        <w:rPr>
          <w:rStyle w:val="11"/>
          <w:rFonts w:hint="eastAsia" w:ascii="宋体" w:hAnsi="宋体" w:eastAsia="宋体" w:cs="宋体"/>
          <w:b/>
          <w:bCs/>
          <w:i w:val="0"/>
          <w:iCs w:val="0"/>
          <w:caps w:val="0"/>
          <w:color w:val="auto"/>
          <w:spacing w:val="0"/>
          <w:sz w:val="24"/>
          <w:szCs w:val="24"/>
          <w:shd w:val="clear" w:fill="FFFFFF"/>
        </w:rPr>
        <w:t>投标无效。</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a.招标文件规定的方式：</w:t>
      </w:r>
      <w:r>
        <w:rPr>
          <w:rFonts w:hint="eastAsia" w:ascii="微软雅黑" w:hAnsi="微软雅黑" w:eastAsia="微软雅黑" w:cs="微软雅黑"/>
          <w:i w:val="0"/>
          <w:iCs w:val="0"/>
          <w:caps w:val="0"/>
          <w:color w:val="auto"/>
          <w:spacing w:val="0"/>
          <w:sz w:val="24"/>
          <w:szCs w:val="24"/>
          <w:u w:val="single"/>
          <w:shd w:val="clear" w:fill="FFFFFF"/>
        </w:rPr>
        <w:t>若有相同的最高得分，则其中投标总价低的投标人将被排序在前；若有相同的最高得分且投标报价相同的，则按技术部分得分从高到低顺序进行排列，技术部分得分最高的投标人将被排序在前</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b.招标文件未规定的，采取随机抽取方式确定，其他同品牌投标人不作为中标候选人。</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③非单一产品采购项目，多家投标人提供的核心产品品牌相同的，按照本章第</w:t>
      </w:r>
      <w:r>
        <w:rPr>
          <w:rFonts w:hint="default" w:ascii="Calibri" w:hAnsi="Calibri" w:eastAsia="微软雅黑" w:cs="Calibri"/>
          <w:i w:val="0"/>
          <w:iCs w:val="0"/>
          <w:caps w:val="0"/>
          <w:color w:val="auto"/>
          <w:spacing w:val="0"/>
          <w:sz w:val="24"/>
          <w:szCs w:val="24"/>
          <w:shd w:val="clear" w:fill="FFFFFF"/>
        </w:rPr>
        <w:t>6.4</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）款第①、②规定处理。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（3）漏（缺）项</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①招标文件中要求列入报价的费用（含配置、功能），漏（缺）项的报价视为已经包括在投标总价中。</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②对多报项及赠送项的价格评标时不予核减，全部进入评标价评议。</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6.5推荐中标候选人：详见本章第</w:t>
      </w:r>
      <w:r>
        <w:rPr>
          <w:rFonts w:hint="default" w:ascii="Calibri" w:hAnsi="Calibri" w:eastAsia="微软雅黑" w:cs="Calibri"/>
          <w:i w:val="0"/>
          <w:iCs w:val="0"/>
          <w:caps w:val="0"/>
          <w:color w:val="auto"/>
          <w:spacing w:val="0"/>
          <w:sz w:val="24"/>
          <w:szCs w:val="24"/>
          <w:shd w:val="clear" w:fill="FFFFFF"/>
        </w:rPr>
        <w:t>7.2</w:t>
      </w:r>
      <w:r>
        <w:rPr>
          <w:rFonts w:hint="eastAsia" w:ascii="宋体" w:hAnsi="宋体" w:eastAsia="宋体" w:cs="宋体"/>
          <w:i w:val="0"/>
          <w:iCs w:val="0"/>
          <w:caps w:val="0"/>
          <w:color w:val="auto"/>
          <w:spacing w:val="0"/>
          <w:sz w:val="24"/>
          <w:szCs w:val="24"/>
          <w:shd w:val="clear" w:fill="FFFFFF"/>
        </w:rPr>
        <w:t>条规定。</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6.6编写评标报告</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（1）评标报告由评标委员会负责编写。</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（2）评标报告应包括下列内容：</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①招标公告刊登的媒体名称、开标日期和地点；</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②投标人名单和评标委员会成员名单；</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③评标方法和标准；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④开标记录和评标情况及说明，包括无效投标人名单及原因；</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⑤评标结果，包括中标候选人名单或确定的中标人；</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⑥其他需要说明的情况，包括但不限于：评标过程中投标人的澄清、说明或补正，评委更换等。</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1"/>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处理。</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6.8评委对需要共同认定的事项存在争议的，应按照少数服从多数的原则进行认定。</w:t>
      </w:r>
      <w:r>
        <w:rPr>
          <w:rStyle w:val="11"/>
          <w:rFonts w:hint="eastAsia" w:ascii="宋体" w:hAnsi="宋体" w:eastAsia="宋体" w:cs="宋体"/>
          <w:b/>
          <w:bCs/>
          <w:i w:val="0"/>
          <w:iCs w:val="0"/>
          <w:caps w:val="0"/>
          <w:color w:val="auto"/>
          <w:spacing w:val="0"/>
          <w:sz w:val="24"/>
          <w:szCs w:val="24"/>
          <w:shd w:val="clear" w:fill="FFFFFF"/>
        </w:rPr>
        <w:t>持不同意见的评委应在评标报告上签署不同意见及理由，否则视为同意评标报告。</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6.9在评标过程中发现投标人有下列情形之一的，评标委员会应认定其</w:t>
      </w:r>
      <w:r>
        <w:rPr>
          <w:rStyle w:val="11"/>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，并书面报告本项目监督管理部门：</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（1）恶意串通（包括但不限于招标文件第三章第</w:t>
      </w:r>
      <w:r>
        <w:rPr>
          <w:rFonts w:hint="default" w:ascii="Calibri" w:hAnsi="Calibri" w:eastAsia="微软雅黑" w:cs="Calibri"/>
          <w:i w:val="0"/>
          <w:iCs w:val="0"/>
          <w:caps w:val="0"/>
          <w:color w:val="auto"/>
          <w:spacing w:val="0"/>
          <w:sz w:val="24"/>
          <w:szCs w:val="24"/>
          <w:shd w:val="clear" w:fill="FFFFFF"/>
        </w:rPr>
        <w:t>9.7</w:t>
      </w:r>
      <w:r>
        <w:rPr>
          <w:rFonts w:hint="eastAsia" w:ascii="宋体" w:hAnsi="宋体" w:eastAsia="宋体" w:cs="宋体"/>
          <w:i w:val="0"/>
          <w:iCs w:val="0"/>
          <w:caps w:val="0"/>
          <w:color w:val="auto"/>
          <w:spacing w:val="0"/>
          <w:sz w:val="24"/>
          <w:szCs w:val="24"/>
          <w:shd w:val="clear" w:fill="FFFFFF"/>
        </w:rPr>
        <w:t>条规定情形）；</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（2）妨碍其他投标人的竞争行为；</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（3）损害采购人或其他投标人的合法权益。</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6.10评标过程中，有下列情形之一的，应予废标：</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（1）符合性审查合格的投标人不足三家的；</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（2）有关法律、法规和规章规定废标的情形。</w:t>
      </w:r>
    </w:p>
    <w:p>
      <w:pPr>
        <w:pStyle w:val="8"/>
        <w:keepNext w:val="0"/>
        <w:keepLines w:val="0"/>
        <w:widowControl/>
        <w:suppressLineNumbers w:val="0"/>
        <w:spacing w:before="76" w:beforeAutospacing="0" w:after="76" w:afterAutospacing="0"/>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※若废标，则本次采购活动结束，</w:t>
      </w:r>
      <w:r>
        <w:rPr>
          <w:rFonts w:hint="eastAsia" w:ascii="宋体" w:hAnsi="宋体" w:eastAsia="宋体" w:cs="宋体"/>
          <w:i w:val="0"/>
          <w:iCs w:val="0"/>
          <w:caps w:val="0"/>
          <w:color w:val="auto"/>
          <w:spacing w:val="0"/>
          <w:sz w:val="24"/>
          <w:szCs w:val="24"/>
          <w:u w:val="single"/>
          <w:shd w:val="clear" w:fill="FFFFFF"/>
        </w:rPr>
        <w:t>宁德市恒福招标有限公司</w:t>
      </w:r>
      <w:r>
        <w:rPr>
          <w:rStyle w:val="11"/>
          <w:rFonts w:hint="eastAsia" w:ascii="宋体" w:hAnsi="宋体" w:eastAsia="宋体" w:cs="宋体"/>
          <w:b/>
          <w:bCs/>
          <w:i w:val="0"/>
          <w:iCs w:val="0"/>
          <w:caps w:val="0"/>
          <w:color w:val="auto"/>
          <w:spacing w:val="0"/>
          <w:sz w:val="24"/>
          <w:szCs w:val="24"/>
          <w:shd w:val="clear" w:fill="FFFFFF"/>
        </w:rPr>
        <w:t>将依法组织后续采购活动（包括但不限于：重新招标、采用其他方式采购等）。</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7、评标方法和标准</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7.1评标方法：</w:t>
      </w:r>
      <w:r>
        <w:rPr>
          <w:rFonts w:hint="eastAsia" w:ascii="微软雅黑" w:hAnsi="微软雅黑" w:eastAsia="微软雅黑" w:cs="微软雅黑"/>
          <w:i w:val="0"/>
          <w:iCs w:val="0"/>
          <w:caps w:val="0"/>
          <w:color w:val="auto"/>
          <w:spacing w:val="0"/>
          <w:sz w:val="24"/>
          <w:szCs w:val="24"/>
          <w:shd w:val="clear" w:fill="FFFFFF"/>
        </w:rPr>
        <w:t> 项目包1采用综合评分法。</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7.2评标标准</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hd w:val="clear" w:fill="FFFFFF"/>
        <w:spacing w:before="0" w:beforeAutospacing="0" w:after="150" w:afterAutospacing="0"/>
        <w:ind w:left="-362" w:right="-362"/>
        <w:rPr>
          <w:rFonts w:hint="eastAsia" w:ascii="微软雅黑" w:hAnsi="微软雅黑" w:eastAsia="微软雅黑" w:cs="微软雅黑"/>
          <w:color w:val="auto"/>
          <w:sz w:val="19"/>
          <w:szCs w:val="19"/>
        </w:rPr>
      </w:pPr>
      <w:r>
        <w:rPr>
          <w:rStyle w:val="11"/>
          <w:rFonts w:hint="eastAsia" w:ascii="宋体" w:hAnsi="宋体" w:eastAsia="宋体" w:cs="宋体"/>
          <w:b/>
          <w:bCs/>
          <w:i w:val="0"/>
          <w:iCs w:val="0"/>
          <w:caps w:val="0"/>
          <w:color w:val="auto"/>
          <w:spacing w:val="0"/>
          <w:sz w:val="24"/>
          <w:szCs w:val="24"/>
          <w:shd w:val="clear" w:fill="FFFFFF"/>
        </w:rPr>
        <w:t>采购包1采用综合评分法</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（1）投标文件满足招标文件全部实质性要求，且按照评审因素的量化指标评审得分（即评标总得分）最高的投标人为中标候选人。</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（2）每个投标人的评标总得分</w:t>
      </w:r>
      <w:r>
        <w:rPr>
          <w:rFonts w:hint="default" w:ascii="Calibri" w:hAnsi="Calibri" w:eastAsia="宋体" w:cs="Calibri"/>
          <w:i w:val="0"/>
          <w:iCs w:val="0"/>
          <w:caps w:val="0"/>
          <w:color w:val="auto"/>
          <w:spacing w:val="0"/>
          <w:sz w:val="24"/>
          <w:szCs w:val="24"/>
          <w:shd w:val="clear" w:fill="FFFFFF"/>
        </w:rPr>
        <w:t>FA</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F1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F2</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A2</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F3</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A3</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F4</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A4</w:t>
      </w:r>
      <w:r>
        <w:rPr>
          <w:rFonts w:hint="eastAsia" w:ascii="宋体" w:hAnsi="宋体" w:eastAsia="宋体" w:cs="宋体"/>
          <w:i w:val="0"/>
          <w:iCs w:val="0"/>
          <w:caps w:val="0"/>
          <w:color w:val="auto"/>
          <w:spacing w:val="0"/>
          <w:sz w:val="24"/>
          <w:szCs w:val="24"/>
          <w:shd w:val="clear" w:fill="FFFFFF"/>
        </w:rPr>
        <w:t>（若有），其中：</w:t>
      </w:r>
      <w:r>
        <w:rPr>
          <w:rFonts w:hint="default" w:ascii="Calibri" w:hAnsi="Calibri" w:eastAsia="宋体" w:cs="Calibri"/>
          <w:i w:val="0"/>
          <w:iCs w:val="0"/>
          <w:caps w:val="0"/>
          <w:color w:val="auto"/>
          <w:spacing w:val="0"/>
          <w:sz w:val="24"/>
          <w:szCs w:val="24"/>
          <w:shd w:val="clear" w:fill="FFFFFF"/>
        </w:rPr>
        <w:t>F1</w:t>
      </w:r>
      <w:r>
        <w:rPr>
          <w:rFonts w:hint="eastAsia" w:ascii="宋体" w:hAnsi="宋体" w:eastAsia="宋体" w:cs="宋体"/>
          <w:i w:val="0"/>
          <w:iCs w:val="0"/>
          <w:caps w:val="0"/>
          <w:color w:val="auto"/>
          <w:spacing w:val="0"/>
          <w:sz w:val="24"/>
          <w:szCs w:val="24"/>
          <w:shd w:val="clear" w:fill="FFFFFF"/>
        </w:rPr>
        <w:t>指价格项评审因素得分、</w:t>
      </w:r>
      <w:r>
        <w:rPr>
          <w:rFonts w:hint="default" w:ascii="Calibri" w:hAnsi="Calibri" w:eastAsia="宋体" w:cs="Calibri"/>
          <w:i w:val="0"/>
          <w:iCs w:val="0"/>
          <w:caps w:val="0"/>
          <w:color w:val="auto"/>
          <w:spacing w:val="0"/>
          <w:sz w:val="24"/>
          <w:szCs w:val="24"/>
          <w:shd w:val="clear" w:fill="FFFFFF"/>
        </w:rPr>
        <w:t>F2</w:t>
      </w:r>
      <w:r>
        <w:rPr>
          <w:rFonts w:hint="eastAsia" w:ascii="宋体" w:hAnsi="宋体" w:eastAsia="宋体" w:cs="宋体"/>
          <w:i w:val="0"/>
          <w:iCs w:val="0"/>
          <w:caps w:val="0"/>
          <w:color w:val="auto"/>
          <w:spacing w:val="0"/>
          <w:sz w:val="24"/>
          <w:szCs w:val="24"/>
          <w:shd w:val="clear" w:fill="FFFFFF"/>
        </w:rPr>
        <w:t>指技术项评审因素得分、</w:t>
      </w:r>
      <w:r>
        <w:rPr>
          <w:rFonts w:hint="default" w:ascii="Calibri" w:hAnsi="Calibri" w:eastAsia="宋体" w:cs="Calibri"/>
          <w:i w:val="0"/>
          <w:iCs w:val="0"/>
          <w:caps w:val="0"/>
          <w:color w:val="auto"/>
          <w:spacing w:val="0"/>
          <w:sz w:val="24"/>
          <w:szCs w:val="24"/>
          <w:shd w:val="clear" w:fill="FFFFFF"/>
        </w:rPr>
        <w:t>F3</w:t>
      </w:r>
      <w:r>
        <w:rPr>
          <w:rFonts w:hint="eastAsia" w:ascii="宋体" w:hAnsi="宋体" w:eastAsia="宋体" w:cs="宋体"/>
          <w:i w:val="0"/>
          <w:iCs w:val="0"/>
          <w:caps w:val="0"/>
          <w:color w:val="auto"/>
          <w:spacing w:val="0"/>
          <w:sz w:val="24"/>
          <w:szCs w:val="24"/>
          <w:shd w:val="clear" w:fill="FFFFFF"/>
        </w:rPr>
        <w:t>指商务项评审因素得分，</w:t>
      </w:r>
      <w:r>
        <w:rPr>
          <w:rFonts w:hint="default" w:ascii="Calibri" w:hAnsi="Calibri" w:eastAsia="宋体" w:cs="Calibri"/>
          <w:i w:val="0"/>
          <w:iCs w:val="0"/>
          <w:caps w:val="0"/>
          <w:color w:val="auto"/>
          <w:spacing w:val="0"/>
          <w:sz w:val="24"/>
          <w:szCs w:val="24"/>
          <w:shd w:val="clear" w:fill="FFFFFF"/>
        </w:rPr>
        <w:t>A1</w:t>
      </w:r>
      <w:r>
        <w:rPr>
          <w:rFonts w:hint="eastAsia" w:ascii="宋体" w:hAnsi="宋体" w:eastAsia="宋体" w:cs="宋体"/>
          <w:i w:val="0"/>
          <w:iCs w:val="0"/>
          <w:caps w:val="0"/>
          <w:color w:val="auto"/>
          <w:spacing w:val="0"/>
          <w:sz w:val="24"/>
          <w:szCs w:val="24"/>
          <w:shd w:val="clear" w:fill="FFFFFF"/>
        </w:rPr>
        <w:t>指价格项评审因素所占的权重、</w:t>
      </w:r>
      <w:r>
        <w:rPr>
          <w:rFonts w:hint="default" w:ascii="Calibri" w:hAnsi="Calibri" w:eastAsia="宋体" w:cs="Calibri"/>
          <w:i w:val="0"/>
          <w:iCs w:val="0"/>
          <w:caps w:val="0"/>
          <w:color w:val="auto"/>
          <w:spacing w:val="0"/>
          <w:sz w:val="24"/>
          <w:szCs w:val="24"/>
          <w:shd w:val="clear" w:fill="FFFFFF"/>
        </w:rPr>
        <w:t>A2</w:t>
      </w:r>
      <w:r>
        <w:rPr>
          <w:rFonts w:hint="eastAsia" w:ascii="宋体" w:hAnsi="宋体" w:eastAsia="宋体" w:cs="宋体"/>
          <w:i w:val="0"/>
          <w:iCs w:val="0"/>
          <w:caps w:val="0"/>
          <w:color w:val="auto"/>
          <w:spacing w:val="0"/>
          <w:sz w:val="24"/>
          <w:szCs w:val="24"/>
          <w:shd w:val="clear" w:fill="FFFFFF"/>
        </w:rPr>
        <w:t>指技术项评审因素所占的权重、</w:t>
      </w:r>
      <w:r>
        <w:rPr>
          <w:rFonts w:hint="default" w:ascii="Calibri" w:hAnsi="Calibri" w:eastAsia="宋体" w:cs="Calibri"/>
          <w:i w:val="0"/>
          <w:iCs w:val="0"/>
          <w:caps w:val="0"/>
          <w:color w:val="auto"/>
          <w:spacing w:val="0"/>
          <w:sz w:val="24"/>
          <w:szCs w:val="24"/>
          <w:shd w:val="clear" w:fill="FFFFFF"/>
        </w:rPr>
        <w:t>A3</w:t>
      </w:r>
      <w:r>
        <w:rPr>
          <w:rFonts w:hint="eastAsia" w:ascii="宋体" w:hAnsi="宋体" w:eastAsia="宋体" w:cs="宋体"/>
          <w:i w:val="0"/>
          <w:iCs w:val="0"/>
          <w:caps w:val="0"/>
          <w:color w:val="auto"/>
          <w:spacing w:val="0"/>
          <w:sz w:val="24"/>
          <w:szCs w:val="24"/>
          <w:shd w:val="clear" w:fill="FFFFFF"/>
        </w:rPr>
        <w:t>指商务项评审因素所占的权重，</w:t>
      </w:r>
      <w:r>
        <w:rPr>
          <w:rFonts w:hint="default" w:ascii="Calibri" w:hAnsi="Calibri" w:eastAsia="宋体" w:cs="Calibri"/>
          <w:i w:val="0"/>
          <w:iCs w:val="0"/>
          <w:caps w:val="0"/>
          <w:color w:val="auto"/>
          <w:spacing w:val="0"/>
          <w:sz w:val="24"/>
          <w:szCs w:val="24"/>
          <w:shd w:val="clear" w:fill="FFFFFF"/>
        </w:rPr>
        <w:t>A1+A2+A3=1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F1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F2</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A2</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F3</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A3=100</w:t>
      </w:r>
      <w:r>
        <w:rPr>
          <w:rFonts w:hint="eastAsia" w:ascii="宋体" w:hAnsi="宋体" w:eastAsia="宋体" w:cs="宋体"/>
          <w:i w:val="0"/>
          <w:iCs w:val="0"/>
          <w:caps w:val="0"/>
          <w:color w:val="auto"/>
          <w:spacing w:val="0"/>
          <w:sz w:val="24"/>
          <w:szCs w:val="24"/>
          <w:shd w:val="clear" w:fill="FFFFFF"/>
        </w:rPr>
        <w:t>分（满分时），</w:t>
      </w:r>
      <w:r>
        <w:rPr>
          <w:rFonts w:hint="default" w:ascii="Calibri" w:hAnsi="Calibri" w:eastAsia="宋体" w:cs="Calibri"/>
          <w:i w:val="0"/>
          <w:iCs w:val="0"/>
          <w:caps w:val="0"/>
          <w:color w:val="auto"/>
          <w:spacing w:val="0"/>
          <w:sz w:val="24"/>
          <w:szCs w:val="24"/>
          <w:shd w:val="clear" w:fill="FFFFFF"/>
        </w:rPr>
        <w:t>F4</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A4</w:t>
      </w:r>
      <w:r>
        <w:rPr>
          <w:rFonts w:hint="eastAsia" w:ascii="宋体" w:hAnsi="宋体" w:eastAsia="宋体" w:cs="宋体"/>
          <w:i w:val="0"/>
          <w:iCs w:val="0"/>
          <w:caps w:val="0"/>
          <w:color w:val="auto"/>
          <w:spacing w:val="0"/>
          <w:sz w:val="24"/>
          <w:szCs w:val="24"/>
          <w:shd w:val="clear" w:fill="FFFFFF"/>
        </w:rPr>
        <w:t>为加分项（即优先类节能产品、环境标志产品在采购活动中可享有的加分优惠）。</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（3）各项评审因素的设置如下：</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①价格项（</w:t>
      </w:r>
      <w:r>
        <w:rPr>
          <w:rFonts w:hint="default" w:ascii="Calibri" w:hAnsi="Calibri" w:eastAsia="宋体" w:cs="Calibri"/>
          <w:i w:val="0"/>
          <w:iCs w:val="0"/>
          <w:caps w:val="0"/>
          <w:color w:val="auto"/>
          <w:spacing w:val="0"/>
          <w:sz w:val="24"/>
          <w:szCs w:val="24"/>
          <w:shd w:val="clear" w:fill="FFFFFF"/>
        </w:rPr>
        <w:t>F1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A1</w:t>
      </w:r>
      <w:r>
        <w:rPr>
          <w:rFonts w:hint="eastAsia" w:ascii="宋体" w:hAnsi="宋体" w:eastAsia="宋体" w:cs="宋体"/>
          <w:i w:val="0"/>
          <w:iCs w:val="0"/>
          <w:caps w:val="0"/>
          <w:color w:val="auto"/>
          <w:spacing w:val="0"/>
          <w:sz w:val="24"/>
          <w:szCs w:val="24"/>
          <w:shd w:val="clear" w:fill="FFFFFF"/>
        </w:rPr>
        <w:t>）满分为</w:t>
      </w:r>
      <w:r>
        <w:rPr>
          <w:rFonts w:hint="eastAsia" w:ascii="宋体" w:hAnsi="宋体" w:eastAsia="宋体" w:cs="宋体"/>
          <w:i w:val="0"/>
          <w:iCs w:val="0"/>
          <w:caps w:val="0"/>
          <w:color w:val="auto"/>
          <w:spacing w:val="0"/>
          <w:sz w:val="24"/>
          <w:szCs w:val="24"/>
          <w:u w:val="single"/>
          <w:shd w:val="clear" w:fill="FFFFFF"/>
        </w:rPr>
        <w:t>45</w:t>
      </w:r>
      <w:r>
        <w:rPr>
          <w:rFonts w:hint="eastAsia" w:ascii="宋体" w:hAnsi="宋体" w:eastAsia="宋体" w:cs="宋体"/>
          <w:i w:val="0"/>
          <w:iCs w:val="0"/>
          <w:caps w:val="0"/>
          <w:color w:val="auto"/>
          <w:spacing w:val="0"/>
          <w:sz w:val="24"/>
          <w:szCs w:val="24"/>
          <w:shd w:val="clear" w:fill="FFFFFF"/>
        </w:rPr>
        <w:t>分。</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t>（评标基准价／投标报价）×</w:t>
      </w:r>
      <w:r>
        <w:rPr>
          <w:rFonts w:hint="default" w:ascii="Calibri" w:hAnsi="Calibri" w:eastAsia="宋体" w:cs="Calibri"/>
          <w:i w:val="0"/>
          <w:iCs w:val="0"/>
          <w:caps w:val="0"/>
          <w:color w:val="auto"/>
          <w:spacing w:val="0"/>
          <w:sz w:val="24"/>
          <w:szCs w:val="24"/>
          <w:shd w:val="clear" w:fill="FFFFFF"/>
        </w:rPr>
        <w:t>100</w:t>
      </w:r>
      <w:r>
        <w:rPr>
          <w:rFonts w:hint="eastAsia" w:ascii="宋体" w:hAnsi="宋体" w:eastAsia="宋体" w:cs="宋体"/>
          <w:i w:val="0"/>
          <w:iCs w:val="0"/>
          <w:caps w:val="0"/>
          <w:color w:val="auto"/>
          <w:spacing w:val="0"/>
          <w:sz w:val="24"/>
          <w:szCs w:val="24"/>
          <w:shd w:val="clear" w:fill="FFFFFF"/>
        </w:rPr>
        <w:t>。因落实政府采购政策需进行价格扣除的，以扣除后的价格计算评标基准价和投标报价。</w:t>
      </w:r>
    </w:p>
    <w:p>
      <w:pPr>
        <w:pStyle w:val="8"/>
        <w:keepNext w:val="0"/>
        <w:keepLines w:val="0"/>
        <w:widowControl/>
        <w:suppressLineNumbers w:val="0"/>
        <w:spacing w:before="0" w:beforeAutospacing="0" w:after="150" w:afterAutospacing="0"/>
        <w:ind w:left="-362" w:right="-362" w:firstLine="480"/>
        <w:rPr>
          <w:color w:val="auto"/>
        </w:rPr>
      </w:pPr>
      <w:r>
        <w:rPr>
          <w:rFonts w:hint="default" w:ascii="Calibri" w:hAnsi="Calibri" w:eastAsia="微软雅黑" w:cs="Calibri"/>
          <w:i w:val="0"/>
          <w:iCs w:val="0"/>
          <w:caps w:val="0"/>
          <w:color w:val="auto"/>
          <w:spacing w:val="0"/>
          <w:sz w:val="24"/>
          <w:szCs w:val="24"/>
          <w:shd w:val="clear" w:fill="FFFFFF"/>
        </w:rPr>
        <w:t>b.</w:t>
      </w:r>
      <w:r>
        <w:rPr>
          <w:rFonts w:hint="eastAsia" w:ascii="宋体" w:hAnsi="宋体" w:eastAsia="宋体" w:cs="宋体"/>
          <w:i w:val="0"/>
          <w:iCs w:val="0"/>
          <w:caps w:val="0"/>
          <w:color w:val="auto"/>
          <w:spacing w:val="0"/>
          <w:sz w:val="24"/>
          <w:szCs w:val="24"/>
          <w:shd w:val="clear" w:fill="FFFFFF"/>
        </w:rPr>
        <w:t>价格扣除的规则如下：</w:t>
      </w:r>
    </w:p>
    <w:p>
      <w:pPr>
        <w:pStyle w:val="8"/>
        <w:keepNext w:val="0"/>
        <w:keepLines w:val="0"/>
        <w:widowControl/>
        <w:suppressLineNumbers w:val="0"/>
        <w:spacing w:before="0" w:beforeAutospacing="0" w:after="150" w:afterAutospacing="0"/>
        <w:ind w:left="-362" w:right="-362" w:firstLine="480"/>
        <w:rPr>
          <w:color w:val="auto"/>
        </w:rPr>
      </w:pPr>
      <w:r>
        <w:rPr>
          <w:rStyle w:val="11"/>
          <w:rFonts w:hint="eastAsia" w:ascii="微软雅黑" w:hAnsi="微软雅黑" w:eastAsia="微软雅黑" w:cs="微软雅黑"/>
          <w:b/>
          <w:bCs/>
          <w:i w:val="0"/>
          <w:iCs w:val="0"/>
          <w:caps w:val="0"/>
          <w:color w:val="auto"/>
          <w:spacing w:val="0"/>
          <w:sz w:val="24"/>
          <w:szCs w:val="24"/>
          <w:shd w:val="clear" w:fill="FFFFFF"/>
        </w:rPr>
        <w:t>         无</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②技术项（</w:t>
      </w:r>
      <w:r>
        <w:rPr>
          <w:rFonts w:hint="default" w:ascii="Calibri" w:hAnsi="Calibri" w:eastAsia="宋体" w:cs="Calibri"/>
          <w:i w:val="0"/>
          <w:iCs w:val="0"/>
          <w:caps w:val="0"/>
          <w:color w:val="auto"/>
          <w:spacing w:val="0"/>
          <w:sz w:val="24"/>
          <w:szCs w:val="24"/>
          <w:shd w:val="clear" w:fill="FFFFFF"/>
        </w:rPr>
        <w:t>F2</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A2</w:t>
      </w:r>
      <w:r>
        <w:rPr>
          <w:rFonts w:hint="eastAsia" w:ascii="宋体" w:hAnsi="宋体" w:eastAsia="宋体" w:cs="宋体"/>
          <w:i w:val="0"/>
          <w:iCs w:val="0"/>
          <w:caps w:val="0"/>
          <w:color w:val="auto"/>
          <w:spacing w:val="0"/>
          <w:sz w:val="24"/>
          <w:szCs w:val="24"/>
          <w:shd w:val="clear" w:fill="FFFFFF"/>
        </w:rPr>
        <w:t>）满分为</w:t>
      </w:r>
      <w:r>
        <w:rPr>
          <w:rFonts w:hint="eastAsia" w:ascii="宋体" w:hAnsi="宋体" w:eastAsia="宋体" w:cs="宋体"/>
          <w:i w:val="0"/>
          <w:iCs w:val="0"/>
          <w:caps w:val="0"/>
          <w:color w:val="auto"/>
          <w:spacing w:val="0"/>
          <w:sz w:val="24"/>
          <w:szCs w:val="24"/>
          <w:u w:val="single"/>
          <w:shd w:val="clear" w:fill="FFFFFF"/>
        </w:rPr>
        <w:t>40</w:t>
      </w:r>
      <w:r>
        <w:rPr>
          <w:rFonts w:hint="eastAsia" w:ascii="宋体" w:hAnsi="宋体" w:eastAsia="宋体" w:cs="宋体"/>
          <w:i w:val="0"/>
          <w:iCs w:val="0"/>
          <w:caps w:val="0"/>
          <w:color w:val="auto"/>
          <w:spacing w:val="0"/>
          <w:sz w:val="24"/>
          <w:szCs w:val="24"/>
          <w:shd w:val="clear" w:fill="FFFFFF"/>
        </w:rPr>
        <w:t>分。</w:t>
      </w:r>
    </w:p>
    <w:tbl>
      <w:tblPr>
        <w:tblStyle w:val="9"/>
        <w:tblW w:w="877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12"/>
        <w:gridCol w:w="761"/>
        <w:gridCol w:w="709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7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T1、技术性能响应情况</w:t>
            </w:r>
          </w:p>
        </w:tc>
        <w:tc>
          <w:tcPr>
            <w:tcW w:w="7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40</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根据投标人对招标文件《第五章 招标内容及要求》中“二、技术和服务要求”的各项技术规格及要求的响应承诺情况，由评委进行评议并评分, 完全满足招标文件技术参数要求的得40分。其中序号标注“▲”的产品为重要产品，每负偏离一个扣1分（合计10个)；标注“■”的产品对技术参数的响应需提供相应的佐证材料，否则视为负偏离，每负偏离一个扣0.1分（合计94个)；其他未标注的产品每负偏离一项扣0.05分（合计412项),正偏离不加分。</w:t>
            </w:r>
          </w:p>
        </w:tc>
      </w:tr>
    </w:tbl>
    <w:p>
      <w:pPr>
        <w:pStyle w:val="8"/>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auto"/>
          <w:spacing w:val="0"/>
          <w:sz w:val="19"/>
          <w:szCs w:val="19"/>
        </w:rPr>
      </w:pPr>
      <w:r>
        <w:rPr>
          <w:rFonts w:ascii="宋体" w:hAnsi="宋体" w:eastAsia="宋体" w:cs="宋体"/>
          <w:i w:val="0"/>
          <w:iCs w:val="0"/>
          <w:caps w:val="0"/>
          <w:color w:val="auto"/>
          <w:spacing w:val="0"/>
          <w:sz w:val="24"/>
          <w:szCs w:val="24"/>
          <w:shd w:val="clear" w:fill="FFFFFF"/>
        </w:rPr>
        <w:t>③商务项（</w:t>
      </w:r>
      <w:r>
        <w:rPr>
          <w:rFonts w:ascii="Calibri" w:hAnsi="Calibri" w:eastAsia="宋体" w:cs="Calibri"/>
          <w:i w:val="0"/>
          <w:iCs w:val="0"/>
          <w:caps w:val="0"/>
          <w:color w:val="auto"/>
          <w:spacing w:val="0"/>
          <w:sz w:val="24"/>
          <w:szCs w:val="24"/>
          <w:shd w:val="clear" w:fill="FFFFFF"/>
        </w:rPr>
        <w:t>F3</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A3</w:t>
      </w:r>
      <w:r>
        <w:rPr>
          <w:rFonts w:hint="eastAsia" w:ascii="宋体" w:hAnsi="宋体" w:eastAsia="宋体" w:cs="宋体"/>
          <w:i w:val="0"/>
          <w:iCs w:val="0"/>
          <w:caps w:val="0"/>
          <w:color w:val="auto"/>
          <w:spacing w:val="0"/>
          <w:sz w:val="24"/>
          <w:szCs w:val="24"/>
          <w:shd w:val="clear" w:fill="FFFFFF"/>
        </w:rPr>
        <w:t>）满分为</w:t>
      </w:r>
      <w:r>
        <w:rPr>
          <w:rFonts w:hint="eastAsia" w:ascii="宋体" w:hAnsi="宋体" w:eastAsia="宋体" w:cs="宋体"/>
          <w:i w:val="0"/>
          <w:iCs w:val="0"/>
          <w:caps w:val="0"/>
          <w:color w:val="auto"/>
          <w:spacing w:val="0"/>
          <w:sz w:val="24"/>
          <w:szCs w:val="24"/>
          <w:u w:val="single"/>
          <w:shd w:val="clear" w:fill="FFFFFF"/>
        </w:rPr>
        <w:t>15</w:t>
      </w:r>
      <w:r>
        <w:rPr>
          <w:rFonts w:hint="eastAsia" w:ascii="宋体" w:hAnsi="宋体" w:eastAsia="宋体" w:cs="宋体"/>
          <w:i w:val="0"/>
          <w:iCs w:val="0"/>
          <w:caps w:val="0"/>
          <w:color w:val="auto"/>
          <w:spacing w:val="0"/>
          <w:sz w:val="24"/>
          <w:szCs w:val="24"/>
          <w:shd w:val="clear" w:fill="FFFFFF"/>
        </w:rPr>
        <w:t>分。</w:t>
      </w:r>
    </w:p>
    <w:tbl>
      <w:tblPr>
        <w:tblStyle w:val="9"/>
        <w:tblW w:w="8807" w:type="dxa"/>
        <w:tblInd w:w="-399"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99"/>
        <w:gridCol w:w="711"/>
        <w:gridCol w:w="7097"/>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blHeader/>
        </w:trPr>
        <w:tc>
          <w:tcPr>
            <w:tcW w:w="9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评标项目</w:t>
            </w: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评标分值</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99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B1、综合实力</w:t>
            </w: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1、根据投标人提供有效期内的信息安全服务资质（安全风险评估）认证证书的得1分；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999"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2、根据投标人提供有效期内的信息安全服务资质（信息系统安全运维）认证证书的得1分。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999"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3、根据投标人提供有效期内的信息安全服务资质（安全集成）认证证书的得1分。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999"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4、根据投标人提供有效期内的ISO9001质量管理体系认证证书的得1分。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999"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5、根据投标人提供有效期内的ISO45001职业健康安全管理体系认证证书的得1分。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999"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6、根据投标人提供有效期内的ISO27001信息安全管理体系认证证书的得1分。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999"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7、根据投标人提供国家信息安全测评信息安全服务资质证书（安全工程类）的得1分。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9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B2、业绩</w:t>
            </w: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根据投标人自2019年1月1日起至投标截止日止（日期以合同签订日期为准）完成过类似（信息化类）项目业绩进行评分，每提供一份项目业绩得0.5分，满分2分。 【投标人提供该业绩项目的中标公告（提供相关网站中标公告的下载网页并注明网址）、中标通知书复印件、采购合同文本复印件，以及能够证明该业绩项目已经采购人验收合格的相关证明文件复印件，所有材料缺一不可，否则不得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9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B3、人员配备</w:t>
            </w: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投标人拟投入本项目团队人员具有信息系统项目管理师证书、通信与广电工程专业一级注册建造师证书、高级工程师职称证书(通信工程或电子信息专业)的得3分。须提供相关证书复印件及投标截止前六个月（不含投标截止时间的当月）任意一个月由投标人为其缴交社保的证明材料复印件，未提供材料或提供材料不齐全的不得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9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B4、售后服务</w:t>
            </w:r>
          </w:p>
        </w:tc>
        <w:tc>
          <w:tcPr>
            <w:tcW w:w="71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w:t>
            </w:r>
          </w:p>
        </w:tc>
        <w:tc>
          <w:tcPr>
            <w:tcW w:w="7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投标人针对本项目提供的售后服务方案（包括但不限于售后服务内容、服务形式和服务保障措施等方面）由评委进行评分：售后服务方案在满足基本要求基础上增加有利于项目实施方案内容的得3分，只是满足基本要求的得2分，未完全响应基本要求存在缺项的得1分，未提供本项不得分。</w:t>
            </w:r>
          </w:p>
        </w:tc>
      </w:tr>
    </w:tbl>
    <w:p>
      <w:pPr>
        <w:pStyle w:val="8"/>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auto"/>
          <w:spacing w:val="0"/>
          <w:sz w:val="19"/>
          <w:szCs w:val="19"/>
        </w:rPr>
      </w:pPr>
      <w:r>
        <w:rPr>
          <w:rFonts w:hint="eastAsia" w:ascii="宋体" w:hAnsi="宋体" w:eastAsia="宋体" w:cs="宋体"/>
          <w:i w:val="0"/>
          <w:iCs w:val="0"/>
          <w:caps w:val="0"/>
          <w:color w:val="auto"/>
          <w:spacing w:val="0"/>
          <w:sz w:val="24"/>
          <w:szCs w:val="24"/>
          <w:shd w:val="clear" w:fill="FFFFFF"/>
        </w:rPr>
        <w:t>④加分项（</w:t>
      </w:r>
      <w:r>
        <w:rPr>
          <w:rFonts w:hint="default" w:ascii="Calibri" w:hAnsi="Calibri" w:eastAsia="宋体" w:cs="Calibri"/>
          <w:i w:val="0"/>
          <w:iCs w:val="0"/>
          <w:caps w:val="0"/>
          <w:color w:val="auto"/>
          <w:spacing w:val="0"/>
          <w:sz w:val="24"/>
          <w:szCs w:val="24"/>
          <w:shd w:val="clear" w:fill="FFFFFF"/>
        </w:rPr>
        <w:t>F4</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A4</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a.优先类节能产品、环境标志产品：</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a1若同一采购包内节能、环境标志产品报价总金额低于该采购包报价总金额</w:t>
      </w:r>
      <w:r>
        <w:rPr>
          <w:rFonts w:hint="default" w:ascii="Calibri" w:hAnsi="Calibri" w:eastAsia="宋体" w:cs="Calibri"/>
          <w:i w:val="0"/>
          <w:iCs w:val="0"/>
          <w:caps w:val="0"/>
          <w:color w:val="auto"/>
          <w:spacing w:val="0"/>
          <w:sz w:val="24"/>
          <w:szCs w:val="24"/>
          <w:shd w:val="clear" w:fill="FFFFFF"/>
        </w:rPr>
        <w:t>20%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20%</w:t>
      </w:r>
      <w:r>
        <w:rPr>
          <w:rFonts w:hint="eastAsia" w:ascii="宋体" w:hAnsi="宋体" w:eastAsia="宋体" w:cs="宋体"/>
          <w:i w:val="0"/>
          <w:iCs w:val="0"/>
          <w:caps w:val="0"/>
          <w:color w:val="auto"/>
          <w:spacing w:val="0"/>
          <w:sz w:val="24"/>
          <w:szCs w:val="24"/>
          <w:shd w:val="clear" w:fill="FFFFFF"/>
        </w:rPr>
        <w:t>）以下，将分别给予节能、环境标志产品价格项（</w:t>
      </w:r>
      <w:r>
        <w:rPr>
          <w:rFonts w:hint="default" w:ascii="Calibri" w:hAnsi="Calibri" w:eastAsia="宋体" w:cs="Calibri"/>
          <w:i w:val="0"/>
          <w:iCs w:val="0"/>
          <w:caps w:val="0"/>
          <w:color w:val="auto"/>
          <w:spacing w:val="0"/>
          <w:sz w:val="24"/>
          <w:szCs w:val="24"/>
          <w:shd w:val="clear" w:fill="FFFFFF"/>
        </w:rPr>
        <w:t>F1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A1</w:t>
      </w:r>
      <w:r>
        <w:rPr>
          <w:rFonts w:hint="eastAsia" w:ascii="宋体" w:hAnsi="宋体" w:eastAsia="宋体" w:cs="宋体"/>
          <w:i w:val="0"/>
          <w:iCs w:val="0"/>
          <w:caps w:val="0"/>
          <w:color w:val="auto"/>
          <w:spacing w:val="0"/>
          <w:sz w:val="24"/>
          <w:szCs w:val="24"/>
          <w:shd w:val="clear" w:fill="FFFFFF"/>
        </w:rPr>
        <w:t>，按照满分计）和技术项（</w:t>
      </w:r>
      <w:r>
        <w:rPr>
          <w:rFonts w:hint="default" w:ascii="Calibri" w:hAnsi="Calibri" w:eastAsia="宋体" w:cs="Calibri"/>
          <w:i w:val="0"/>
          <w:iCs w:val="0"/>
          <w:caps w:val="0"/>
          <w:color w:val="auto"/>
          <w:spacing w:val="0"/>
          <w:sz w:val="24"/>
          <w:szCs w:val="24"/>
          <w:shd w:val="clear" w:fill="FFFFFF"/>
        </w:rPr>
        <w:t>F2</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A2</w:t>
      </w:r>
      <w:r>
        <w:rPr>
          <w:rFonts w:hint="eastAsia" w:ascii="宋体" w:hAnsi="宋体" w:eastAsia="宋体" w:cs="宋体"/>
          <w:i w:val="0"/>
          <w:iCs w:val="0"/>
          <w:caps w:val="0"/>
          <w:color w:val="auto"/>
          <w:spacing w:val="0"/>
          <w:sz w:val="24"/>
          <w:szCs w:val="24"/>
          <w:shd w:val="clear" w:fill="FFFFFF"/>
        </w:rPr>
        <w:t>，按照满分计）</w:t>
      </w:r>
      <w:r>
        <w:rPr>
          <w:rFonts w:hint="default" w:ascii="Calibri" w:hAnsi="Calibri" w:eastAsia="宋体" w:cs="Calibri"/>
          <w:i w:val="0"/>
          <w:iCs w:val="0"/>
          <w:caps w:val="0"/>
          <w:color w:val="auto"/>
          <w:spacing w:val="0"/>
          <w:sz w:val="24"/>
          <w:szCs w:val="24"/>
          <w:shd w:val="clear" w:fill="FFFFFF"/>
        </w:rPr>
        <w:t>4%</w:t>
      </w:r>
      <w:r>
        <w:rPr>
          <w:rFonts w:hint="eastAsia" w:ascii="宋体" w:hAnsi="宋体" w:eastAsia="宋体" w:cs="宋体"/>
          <w:i w:val="0"/>
          <w:iCs w:val="0"/>
          <w:caps w:val="0"/>
          <w:color w:val="auto"/>
          <w:spacing w:val="0"/>
          <w:sz w:val="24"/>
          <w:szCs w:val="24"/>
          <w:shd w:val="clear" w:fill="FFFFFF"/>
        </w:rPr>
        <w:t>的加分；若同一采购包内节能、环境标志产品报价总金额占该采购包报价总金额</w:t>
      </w:r>
      <w:r>
        <w:rPr>
          <w:rFonts w:hint="default" w:ascii="Calibri" w:hAnsi="Calibri" w:eastAsia="宋体" w:cs="Calibri"/>
          <w:i w:val="0"/>
          <w:iCs w:val="0"/>
          <w:caps w:val="0"/>
          <w:color w:val="auto"/>
          <w:spacing w:val="0"/>
          <w:sz w:val="24"/>
          <w:szCs w:val="24"/>
          <w:shd w:val="clear" w:fill="FFFFFF"/>
        </w:rPr>
        <w:t>20%-50%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），将分别给予节能、环境标志产品价格项（</w:t>
      </w:r>
      <w:r>
        <w:rPr>
          <w:rFonts w:hint="default" w:ascii="Calibri" w:hAnsi="Calibri" w:eastAsia="宋体" w:cs="Calibri"/>
          <w:i w:val="0"/>
          <w:iCs w:val="0"/>
          <w:caps w:val="0"/>
          <w:color w:val="auto"/>
          <w:spacing w:val="0"/>
          <w:sz w:val="24"/>
          <w:szCs w:val="24"/>
          <w:shd w:val="clear" w:fill="FFFFFF"/>
        </w:rPr>
        <w:t>F1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A1</w:t>
      </w:r>
      <w:r>
        <w:rPr>
          <w:rFonts w:hint="eastAsia" w:ascii="宋体" w:hAnsi="宋体" w:eastAsia="宋体" w:cs="宋体"/>
          <w:i w:val="0"/>
          <w:iCs w:val="0"/>
          <w:caps w:val="0"/>
          <w:color w:val="auto"/>
          <w:spacing w:val="0"/>
          <w:sz w:val="24"/>
          <w:szCs w:val="24"/>
          <w:shd w:val="clear" w:fill="FFFFFF"/>
        </w:rPr>
        <w:t>，按照满分计）和技术项（</w:t>
      </w:r>
      <w:r>
        <w:rPr>
          <w:rFonts w:hint="default" w:ascii="Calibri" w:hAnsi="Calibri" w:eastAsia="宋体" w:cs="Calibri"/>
          <w:i w:val="0"/>
          <w:iCs w:val="0"/>
          <w:caps w:val="0"/>
          <w:color w:val="auto"/>
          <w:spacing w:val="0"/>
          <w:sz w:val="24"/>
          <w:szCs w:val="24"/>
          <w:shd w:val="clear" w:fill="FFFFFF"/>
        </w:rPr>
        <w:t>F2</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A2</w:t>
      </w:r>
      <w:r>
        <w:rPr>
          <w:rFonts w:hint="eastAsia" w:ascii="宋体" w:hAnsi="宋体" w:eastAsia="宋体" w:cs="宋体"/>
          <w:i w:val="0"/>
          <w:iCs w:val="0"/>
          <w:caps w:val="0"/>
          <w:color w:val="auto"/>
          <w:spacing w:val="0"/>
          <w:sz w:val="24"/>
          <w:szCs w:val="24"/>
          <w:shd w:val="clear" w:fill="FFFFFF"/>
        </w:rPr>
        <w:t>，按照满分计）</w:t>
      </w:r>
      <w:r>
        <w:rPr>
          <w:rFonts w:hint="default" w:ascii="Calibri" w:hAnsi="Calibri" w:eastAsia="宋体" w:cs="Calibri"/>
          <w:i w:val="0"/>
          <w:iCs w:val="0"/>
          <w:caps w:val="0"/>
          <w:color w:val="auto"/>
          <w:spacing w:val="0"/>
          <w:sz w:val="24"/>
          <w:szCs w:val="24"/>
          <w:shd w:val="clear" w:fill="FFFFFF"/>
        </w:rPr>
        <w:t>6%</w:t>
      </w:r>
      <w:r>
        <w:rPr>
          <w:rFonts w:hint="eastAsia" w:ascii="宋体" w:hAnsi="宋体" w:eastAsia="宋体" w:cs="宋体"/>
          <w:i w:val="0"/>
          <w:iCs w:val="0"/>
          <w:caps w:val="0"/>
          <w:color w:val="auto"/>
          <w:spacing w:val="0"/>
          <w:sz w:val="24"/>
          <w:szCs w:val="24"/>
          <w:shd w:val="clear" w:fill="FFFFFF"/>
        </w:rPr>
        <w:t>的加分；若同一采购包内节能、环境标志产品报价总金额占该采购包报价总金额</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以上的，将分别给予节能、环境标志产品价格项（</w:t>
      </w:r>
      <w:r>
        <w:rPr>
          <w:rFonts w:hint="default" w:ascii="Calibri" w:hAnsi="Calibri" w:eastAsia="宋体" w:cs="Calibri"/>
          <w:i w:val="0"/>
          <w:iCs w:val="0"/>
          <w:caps w:val="0"/>
          <w:color w:val="auto"/>
          <w:spacing w:val="0"/>
          <w:sz w:val="24"/>
          <w:szCs w:val="24"/>
          <w:shd w:val="clear" w:fill="FFFFFF"/>
        </w:rPr>
        <w:t>F1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A1</w:t>
      </w:r>
      <w:r>
        <w:rPr>
          <w:rFonts w:hint="eastAsia" w:ascii="宋体" w:hAnsi="宋体" w:eastAsia="宋体" w:cs="宋体"/>
          <w:i w:val="0"/>
          <w:iCs w:val="0"/>
          <w:caps w:val="0"/>
          <w:color w:val="auto"/>
          <w:spacing w:val="0"/>
          <w:sz w:val="24"/>
          <w:szCs w:val="24"/>
          <w:shd w:val="clear" w:fill="FFFFFF"/>
        </w:rPr>
        <w:t>，按照满分计）和技术项（</w:t>
      </w:r>
      <w:r>
        <w:rPr>
          <w:rFonts w:hint="default" w:ascii="Calibri" w:hAnsi="Calibri" w:eastAsia="宋体" w:cs="Calibri"/>
          <w:i w:val="0"/>
          <w:iCs w:val="0"/>
          <w:caps w:val="0"/>
          <w:color w:val="auto"/>
          <w:spacing w:val="0"/>
          <w:sz w:val="24"/>
          <w:szCs w:val="24"/>
          <w:shd w:val="clear" w:fill="FFFFFF"/>
        </w:rPr>
        <w:t>F2</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A2</w:t>
      </w:r>
      <w:r>
        <w:rPr>
          <w:rFonts w:hint="eastAsia" w:ascii="宋体" w:hAnsi="宋体" w:eastAsia="宋体" w:cs="宋体"/>
          <w:i w:val="0"/>
          <w:iCs w:val="0"/>
          <w:caps w:val="0"/>
          <w:color w:val="auto"/>
          <w:spacing w:val="0"/>
          <w:sz w:val="24"/>
          <w:szCs w:val="24"/>
          <w:shd w:val="clear" w:fill="FFFFFF"/>
        </w:rPr>
        <w:t>，按照满分计）</w:t>
      </w:r>
      <w:r>
        <w:rPr>
          <w:rFonts w:hint="default" w:ascii="Calibri" w:hAnsi="Calibri" w:eastAsia="宋体" w:cs="Calibri"/>
          <w:i w:val="0"/>
          <w:iCs w:val="0"/>
          <w:caps w:val="0"/>
          <w:color w:val="auto"/>
          <w:spacing w:val="0"/>
          <w:sz w:val="24"/>
          <w:szCs w:val="24"/>
          <w:shd w:val="clear" w:fill="FFFFFF"/>
        </w:rPr>
        <w:t>8%</w:t>
      </w:r>
      <w:r>
        <w:rPr>
          <w:rFonts w:hint="eastAsia" w:ascii="宋体" w:hAnsi="宋体" w:eastAsia="宋体" w:cs="宋体"/>
          <w:i w:val="0"/>
          <w:iCs w:val="0"/>
          <w:caps w:val="0"/>
          <w:color w:val="auto"/>
          <w:spacing w:val="0"/>
          <w:sz w:val="24"/>
          <w:szCs w:val="24"/>
          <w:shd w:val="clear" w:fill="FFFFFF"/>
        </w:rPr>
        <w:t>的加分。</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a2若节能、环境标志产品仅是构成投标产品的部件、组件或零件，则该投标产品不享受鼓励优惠政策。同一品目中各认证证书不重复计算加分。强制类节能产品不享受加分。</w:t>
      </w:r>
    </w:p>
    <w:tbl>
      <w:tblPr>
        <w:tblStyle w:val="9"/>
        <w:tblW w:w="8770" w:type="dxa"/>
        <w:tblInd w:w="-362"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11"/>
        <w:gridCol w:w="732"/>
        <w:gridCol w:w="7127"/>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73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712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节能、减排、环境标志产品</w:t>
            </w:r>
          </w:p>
        </w:tc>
        <w:tc>
          <w:tcPr>
            <w:tcW w:w="73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6.8</w:t>
            </w:r>
          </w:p>
        </w:tc>
        <w:tc>
          <w:tcPr>
            <w:tcW w:w="712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属于节能、减排、环境标志品清单内产品的加分 同一合同包内的节能、减排、环境标志产品报价总金额占本合同包报价总金额 优惠幅度 20%（含20%）以下 在价格评标项（“PF”）得分的基础上另行加1.8分（45×4%） 在技术评标项（“PT”）得分的基础上另行加1.6分（40×4%） 20%-50%（含50%） 在价格评标项（“PF”）得分的基础上另行加2.7分（45×6%） 在技术评标项（“PT”）得分的基础上另行加2.4分（40×6%） 50%以上 在价格评标项（“PF”）得分的基础上另行加3.6分（45×8%） 在技术评标项（“PT”）得分的基础上另行加3.2分（40×8%） 注：投标供应商在投标报价时必须对属于节能、减排、环境标志产品清单内产品单独分项报价，并提供属于清单内产品的完整有效证明资料（即必须提供本项目截标时间之前中国政府采购网正式公布的最新一期节能、环境标志产品政府采购清单的通知及所投产品在政府采购清单内所在页面复印件和国家确定的认证机构出具的处于有效期之内的产品认证证书复印件）加盖投标人公章，否则不给予加分。同一合同包内的节能产品加分只对属于清单内的非强制类产品进行加分，强制类产品已作为投标时强制性要求不再给予加分。若节能、减排、环境标志清单内的产品仅是构成投标产品的部件、组件或零件，则该投标产品不享受鼓励优惠政策。节能、减排、环境标志、产品只以中国政府采购网（www.ccgp.gov.cn）上公告的清单为准进行加分。</w:t>
            </w:r>
          </w:p>
        </w:tc>
      </w:tr>
    </w:tbl>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（4）中标候选人排列规则顺序如下：</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a.按照评标总得分（</w:t>
      </w:r>
      <w:r>
        <w:rPr>
          <w:rFonts w:hint="default" w:ascii="Calibri" w:hAnsi="Calibri" w:eastAsia="宋体" w:cs="Calibri"/>
          <w:i w:val="0"/>
          <w:iCs w:val="0"/>
          <w:caps w:val="0"/>
          <w:color w:val="auto"/>
          <w:spacing w:val="0"/>
          <w:sz w:val="24"/>
          <w:szCs w:val="24"/>
          <w:shd w:val="clear" w:fill="FFFFFF"/>
        </w:rPr>
        <w:t>FA</w:t>
      </w:r>
      <w:r>
        <w:rPr>
          <w:rFonts w:hint="eastAsia" w:ascii="宋体" w:hAnsi="宋体" w:eastAsia="宋体" w:cs="宋体"/>
          <w:i w:val="0"/>
          <w:iCs w:val="0"/>
          <w:caps w:val="0"/>
          <w:color w:val="auto"/>
          <w:spacing w:val="0"/>
          <w:sz w:val="24"/>
          <w:szCs w:val="24"/>
          <w:shd w:val="clear" w:fill="FFFFFF"/>
        </w:rPr>
        <w:t>）由高到低顺序排列。</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b.评标总得分（</w:t>
      </w:r>
      <w:r>
        <w:rPr>
          <w:rFonts w:hint="default" w:ascii="Calibri" w:hAnsi="Calibri" w:eastAsia="宋体" w:cs="Calibri"/>
          <w:i w:val="0"/>
          <w:iCs w:val="0"/>
          <w:caps w:val="0"/>
          <w:color w:val="auto"/>
          <w:spacing w:val="0"/>
          <w:sz w:val="24"/>
          <w:szCs w:val="24"/>
          <w:shd w:val="clear" w:fill="FFFFFF"/>
        </w:rPr>
        <w:t>FA</w:t>
      </w:r>
      <w:r>
        <w:rPr>
          <w:rFonts w:hint="eastAsia" w:ascii="宋体" w:hAnsi="宋体" w:eastAsia="宋体" w:cs="宋体"/>
          <w:i w:val="0"/>
          <w:iCs w:val="0"/>
          <w:caps w:val="0"/>
          <w:color w:val="auto"/>
          <w:spacing w:val="0"/>
          <w:sz w:val="24"/>
          <w:szCs w:val="24"/>
          <w:shd w:val="clear" w:fill="FFFFFF"/>
        </w:rPr>
        <w:t>）相同的，按照评标价（即价格扣除后的投标报价）由低到高顺序排列。</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c.评标总得分（</w:t>
      </w:r>
      <w:r>
        <w:rPr>
          <w:rFonts w:hint="default" w:ascii="Calibri" w:hAnsi="Calibri" w:eastAsia="宋体" w:cs="Calibri"/>
          <w:i w:val="0"/>
          <w:iCs w:val="0"/>
          <w:caps w:val="0"/>
          <w:color w:val="auto"/>
          <w:spacing w:val="0"/>
          <w:sz w:val="24"/>
          <w:szCs w:val="24"/>
          <w:shd w:val="clear" w:fill="FFFFFF"/>
        </w:rPr>
        <w:t>FA</w:t>
      </w:r>
      <w:r>
        <w:rPr>
          <w:rFonts w:hint="eastAsia" w:ascii="宋体" w:hAnsi="宋体" w:eastAsia="宋体" w:cs="宋体"/>
          <w:i w:val="0"/>
          <w:iCs w:val="0"/>
          <w:caps w:val="0"/>
          <w:color w:val="auto"/>
          <w:spacing w:val="0"/>
          <w:sz w:val="24"/>
          <w:szCs w:val="24"/>
          <w:shd w:val="clear" w:fill="FFFFFF"/>
        </w:rPr>
        <w:t>）且评标价（即价格扣除后的投标报价）相同的并列。</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8、其他规定</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8.1评标应全程保密且不得透露给任一投标人或与评标工作无关的人员。</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8.2评标将进行全程实时录音录像，录音录像资料随采购文件一并存档。</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8.3若投标人有任何试图干扰具体评标事务，影响评标委员会独立履行职责的行为，其投标无效且不予退还投标保证金。情节严重的，由财政部门列入不良行为记录。</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8.4其他：</w:t>
      </w:r>
      <w:r>
        <w:rPr>
          <w:rFonts w:hint="eastAsia" w:ascii="微软雅黑" w:hAnsi="微软雅黑" w:eastAsia="微软雅黑" w:cs="微软雅黑"/>
          <w:i w:val="0"/>
          <w:iCs w:val="0"/>
          <w:caps w:val="0"/>
          <w:color w:val="auto"/>
          <w:spacing w:val="0"/>
          <w:sz w:val="24"/>
          <w:szCs w:val="24"/>
          <w:shd w:val="clear" w:fill="FFFFFF"/>
        </w:rPr>
        <w:t>无</w:t>
      </w:r>
    </w:p>
    <w:p>
      <w:pPr>
        <w:pStyle w:val="8"/>
        <w:keepNext w:val="0"/>
        <w:keepLines w:val="0"/>
        <w:widowControl/>
        <w:suppressLineNumbers w:val="0"/>
        <w:spacing w:before="76" w:beforeAutospacing="0" w:after="76" w:afterAutospacing="0"/>
        <w:ind w:left="-362" w:right="-362" w:firstLine="0"/>
        <w:jc w:val="center"/>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rStyle w:val="11"/>
          <w:rFonts w:hint="eastAsia" w:ascii="宋体" w:hAnsi="宋体" w:eastAsia="宋体" w:cs="宋体"/>
          <w:b/>
          <w:bCs/>
          <w:i w:val="0"/>
          <w:iCs w:val="0"/>
          <w:caps w:val="0"/>
          <w:color w:val="auto"/>
          <w:spacing w:val="0"/>
          <w:sz w:val="31"/>
          <w:szCs w:val="31"/>
          <w:shd w:val="clear" w:fill="FFFFFF"/>
        </w:rPr>
      </w:pPr>
    </w:p>
    <w:p>
      <w:pPr>
        <w:pStyle w:val="8"/>
        <w:keepNext w:val="0"/>
        <w:keepLines w:val="0"/>
        <w:widowControl/>
        <w:suppressLineNumbers w:val="0"/>
        <w:spacing w:before="76" w:beforeAutospacing="0" w:after="76" w:afterAutospacing="0"/>
        <w:ind w:left="-362" w:right="-362" w:firstLine="0"/>
        <w:jc w:val="center"/>
        <w:rPr>
          <w:rStyle w:val="11"/>
          <w:rFonts w:hint="eastAsia" w:ascii="宋体" w:hAnsi="宋体" w:eastAsia="宋体" w:cs="宋体"/>
          <w:b/>
          <w:bCs/>
          <w:i w:val="0"/>
          <w:iCs w:val="0"/>
          <w:caps w:val="0"/>
          <w:color w:val="auto"/>
          <w:spacing w:val="0"/>
          <w:sz w:val="31"/>
          <w:szCs w:val="31"/>
          <w:shd w:val="clear" w:fill="FFFFFF"/>
        </w:rPr>
      </w:pP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31"/>
          <w:szCs w:val="31"/>
          <w:shd w:val="clear" w:fill="FFFFFF"/>
        </w:rPr>
        <w:t>第五章</w:t>
      </w:r>
      <w:r>
        <w:rPr>
          <w:rStyle w:val="11"/>
          <w:rFonts w:hint="eastAsia" w:ascii="微软雅黑" w:hAnsi="微软雅黑" w:eastAsia="微软雅黑" w:cs="微软雅黑"/>
          <w:b/>
          <w:bCs/>
          <w:i w:val="0"/>
          <w:iCs w:val="0"/>
          <w:caps w:val="0"/>
          <w:color w:val="auto"/>
          <w:spacing w:val="0"/>
          <w:sz w:val="31"/>
          <w:szCs w:val="31"/>
          <w:shd w:val="clear" w:fill="FFFFFF"/>
        </w:rPr>
        <w:t>   </w:t>
      </w:r>
      <w:r>
        <w:rPr>
          <w:rStyle w:val="11"/>
          <w:rFonts w:hint="eastAsia" w:ascii="宋体" w:hAnsi="宋体" w:eastAsia="宋体" w:cs="宋体"/>
          <w:b/>
          <w:bCs/>
          <w:i w:val="0"/>
          <w:iCs w:val="0"/>
          <w:caps w:val="0"/>
          <w:color w:val="auto"/>
          <w:spacing w:val="0"/>
          <w:sz w:val="31"/>
          <w:szCs w:val="31"/>
          <w:shd w:val="clear" w:fill="FFFFFF"/>
        </w:rPr>
        <w:t>招标内容及要求</w:t>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一、项目概况（采购标的）</w:t>
      </w:r>
    </w:p>
    <w:p>
      <w:pPr>
        <w:pStyle w:val="8"/>
        <w:keepNext w:val="0"/>
        <w:keepLines w:val="0"/>
        <w:widowControl/>
        <w:suppressLineNumbers w:val="0"/>
        <w:spacing w:before="0" w:beforeAutospacing="0" w:after="150"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1、本次为宁德市人民警察训练基地信息化建设项目，投标人应根据招标文件所提出的货物技术规格、数量和服务要求，选择具有最佳性能价格比的产品前来报价，以充分显示贵公司的竞争实力。</w:t>
      </w:r>
    </w:p>
    <w:p>
      <w:pPr>
        <w:pStyle w:val="8"/>
        <w:keepNext w:val="0"/>
        <w:keepLines w:val="0"/>
        <w:widowControl/>
        <w:suppressLineNumbers w:val="0"/>
        <w:spacing w:before="0" w:beforeAutospacing="0" w:after="150"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2、《宁德市人民警察训练基地信息化建设项目设 计方案》和图纸详见附件。</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二、技术和服务要求</w:t>
      </w:r>
      <w:r>
        <w:rPr>
          <w:rStyle w:val="11"/>
          <w:rFonts w:hint="eastAsia" w:ascii="宋体" w:hAnsi="宋体" w:eastAsia="宋体" w:cs="宋体"/>
          <w:b/>
          <w:bCs/>
          <w:i w:val="0"/>
          <w:iCs w:val="0"/>
          <w:caps w:val="0"/>
          <w:color w:val="auto"/>
          <w:spacing w:val="0"/>
          <w:sz w:val="24"/>
          <w:szCs w:val="24"/>
          <w:shd w:val="clear" w:fill="FFFFFF"/>
        </w:rPr>
        <w:t>（以“★”标示的内容为不允许负偏离的实质性要求）</w:t>
      </w:r>
    </w:p>
    <w:p>
      <w:pPr>
        <w:pStyle w:val="8"/>
        <w:keepNext w:val="0"/>
        <w:keepLines w:val="0"/>
        <w:widowControl/>
        <w:suppressLineNumbers w:val="0"/>
        <w:spacing w:before="0" w:beforeAutospacing="0" w:after="150" w:afterAutospacing="0"/>
        <w:ind w:left="-362" w:right="-362" w:firstLine="0"/>
        <w:rPr>
          <w:color w:val="auto"/>
        </w:rPr>
      </w:pPr>
      <w:r>
        <w:rPr>
          <w:rStyle w:val="11"/>
          <w:rFonts w:hint="eastAsia" w:ascii="宋体" w:hAnsi="宋体" w:eastAsia="宋体" w:cs="宋体"/>
          <w:b/>
          <w:bCs/>
          <w:i w:val="0"/>
          <w:iCs w:val="0"/>
          <w:caps w:val="0"/>
          <w:color w:val="auto"/>
          <w:spacing w:val="0"/>
          <w:sz w:val="24"/>
          <w:szCs w:val="24"/>
          <w:shd w:val="clear" w:fill="FFFFFF"/>
        </w:rPr>
        <w:t>1、安防系统清单</w:t>
      </w:r>
    </w:p>
    <w:tbl>
      <w:tblPr>
        <w:tblStyle w:val="9"/>
        <w:tblW w:w="5145"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5"/>
        <w:gridCol w:w="1449"/>
        <w:gridCol w:w="3819"/>
        <w:gridCol w:w="626"/>
        <w:gridCol w:w="1126"/>
        <w:gridCol w:w="8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序号</w:t>
            </w:r>
          </w:p>
        </w:tc>
        <w:tc>
          <w:tcPr>
            <w:tcW w:w="81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货物名 称</w:t>
            </w:r>
          </w:p>
        </w:tc>
        <w:tc>
          <w:tcPr>
            <w:tcW w:w="2154"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参数规格</w:t>
            </w:r>
          </w:p>
        </w:tc>
        <w:tc>
          <w:tcPr>
            <w:tcW w:w="353"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单位</w:t>
            </w:r>
          </w:p>
        </w:tc>
        <w:tc>
          <w:tcPr>
            <w:tcW w:w="635"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数量</w:t>
            </w:r>
          </w:p>
        </w:tc>
        <w:tc>
          <w:tcPr>
            <w:tcW w:w="499"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技术评分项号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一</w:t>
            </w:r>
          </w:p>
        </w:tc>
        <w:tc>
          <w:tcPr>
            <w:tcW w:w="297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视频监控系统</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半球摄像机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1.像素：≥400万，1/3英寸CMOS；</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2.最大分辨率：≥2688×1520；</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3.最低照度：≥0.005Lux（彩色模式）；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4.最大补光距离：≥30m（红外）；</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5.镜头类型：定焦；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6.镜头焦距：≥2.8mm；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7.视频压缩标准：H.265；H.264；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8.智能编码：支持H.264、H.265 宽动态：≥120dB；</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9.支持内置MIC；</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10.防护等级：≥IP67。</w:t>
            </w:r>
            <w:r>
              <w:rPr>
                <w:rStyle w:val="11"/>
                <w:rFonts w:hint="eastAsia" w:ascii="宋体" w:hAnsi="宋体" w:eastAsia="宋体" w:cs="宋体"/>
                <w:b/>
                <w:bCs/>
                <w:color w:val="auto"/>
                <w:sz w:val="24"/>
                <w:szCs w:val="24"/>
              </w:rPr>
              <w:t>(需提供权威检测机构出具的检测报告复印件进行佐证)</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127</w:t>
            </w:r>
          </w:p>
        </w:tc>
        <w:tc>
          <w:tcPr>
            <w:tcW w:w="499"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电梯半球摄像机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1.像素：≥400万，1/3英寸CMOS；</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2.最大分辨率：≥2688×1520；</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3.最低照度：≥0.005Lux（彩色模式）；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4.最大补光距离：≥30m（红外）；</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5.镜头类型：定焦；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6.镜头焦距：≥2.8mm；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7.视频压缩标准：H.265；H.264；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8.智能编码：支持H.264、H.265 宽动态：≥120dB；</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9.支持内置MIC；</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10.防护等级：≥IP67。</w:t>
            </w:r>
            <w:r>
              <w:rPr>
                <w:rStyle w:val="11"/>
                <w:rFonts w:hint="eastAsia" w:ascii="宋体" w:hAnsi="宋体" w:eastAsia="宋体" w:cs="宋体"/>
                <w:b/>
                <w:bCs/>
                <w:color w:val="auto"/>
                <w:sz w:val="24"/>
                <w:szCs w:val="24"/>
              </w:rPr>
              <w:t>(需提供权威检测机构出具的检测报告复印件进行佐证)</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高清网络摄像机（枪机）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1.像素：≥400万，1/3英寸CMOS；</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2.最大分辨率：≥2688×1520；</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3.最低照度：≥0.005Lux（彩色模式）；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4.最大补光距离：≥30m（红外）；</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5.镜头类型：定焦；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6.镜头焦距：≥2.8mm；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7.视频压缩标准：H.265；H.264；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8.智能编码：支持H.264、H.265 宽动态：≥120dB；</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9.支持内置MIC；</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10.防护等级：≥IP67。</w:t>
            </w:r>
            <w:r>
              <w:rPr>
                <w:rStyle w:val="11"/>
                <w:rFonts w:hint="eastAsia" w:ascii="宋体" w:hAnsi="宋体" w:eastAsia="宋体" w:cs="宋体"/>
                <w:b/>
                <w:bCs/>
                <w:color w:val="auto"/>
                <w:sz w:val="24"/>
                <w:szCs w:val="24"/>
              </w:rPr>
              <w:t>(需提供权威检测机构出具的检测报告复印件进行佐证)</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68</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报警摄像机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1.像素：≥400万，1/2.7英寸CMOS；最大分辨率：≥2688×1520；</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2.镜头类型：定焦；镜头焦距：≥3.6mm；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3.周界防范：区域入侵；快速移动；徘徊检测；停车检测；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4.视频压缩标准：≥H.265；宽动态：≥120dB；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5.防护等级：≥IP67。</w:t>
            </w:r>
            <w:r>
              <w:rPr>
                <w:rStyle w:val="11"/>
                <w:rFonts w:hint="eastAsia" w:ascii="宋体" w:hAnsi="宋体" w:eastAsia="宋体" w:cs="宋体"/>
                <w:b/>
                <w:bCs/>
                <w:color w:val="auto"/>
                <w:sz w:val="24"/>
                <w:szCs w:val="24"/>
              </w:rPr>
              <w:t>(需提供权威检测机构出具的检测报告复印件进行佐证)</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21</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球机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1.像素：≥400万，1/1.8英寸CMOS；最大分辨率：全景：≥2560x1440；</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2.最大补光距离：≥30m（白外）≥150m（红外）；</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3.镜头焦距：全景：≥4mm；</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4.支持区域入侵、快速移动、联动跟踪、人脸检测、抓拍、语音对讲；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5.音频输入：≥1路；音频输出：≥1路；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6.报警输入：≥2路</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球机支架</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球机相关配套、定制</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499" w:type="pc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摄像机支架</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枪机摄像机与报警摄像机相关配套、定制</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89</w:t>
            </w:r>
          </w:p>
        </w:tc>
        <w:tc>
          <w:tcPr>
            <w:tcW w:w="499" w:type="pc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室外球机监控杆</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≥3.5米分段式球机监控杆含底座、横臂、避雷针相关配套等</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电源适配器</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1.输入电压：交流AC100-240V 50/60HZ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2.输出电压：直流DC12V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3.输出电流：≥2A。</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171</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电梯无线网桥</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1.≥400米电梯专用无线网桥；一套2个，子母对应。</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2.≥5.8GHz(抗干扰能力强)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3.802.11AC(传输带宽更大)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4.≥1个百兆网口</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综合安防管理平台（一体化）</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1.平台支持多终端（C/S客户端、WEB）运行使用；接入监控、门禁、道闸一体化统一管理；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视频功能支持接入管理，录像存储管理，电视墙管理，实时预览，录像回放，云台控制，录像下载，雷球联动；门禁功能支持设备管理、控制、授权、复核、查询、记录；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2.道闸功能支持对车牌抓拍设备、道闸设备管理、车辆进出、抓拍记录、人工开闸记录、报表统计、日志管理。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3.处理器:CPU主频≥3.3Ghz，≥四核；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4.内存：≥16GB；存储：≥2*1T；</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生物信息采集仪（人脸）</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1.像素：≥200万；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2.镜头焦距：≥2.8mm；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3.传感器类型：≥1/2.9英寸CMOS；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4.镜头类型：定焦；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5.支持自动白平衡图像色彩还原度高.</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6.支持自适应-40℃~+60℃</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机械硬盘</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6T机械硬盘；转速≥7200RPM；缓存≥256MB；接口：SATA</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635" w:type="pc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72</w:t>
            </w:r>
          </w:p>
        </w:tc>
        <w:tc>
          <w:tcPr>
            <w:tcW w:w="499" w:type="pc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网络存储服务器</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1.当RAID中某块工作正常的硬盘被误拔出，在120min内插回，该硬盘能恢复到原RAID中，系统自动恢复工作，而且会对拔掉的硬盘进行增量数据恢复；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2.支持对磁盘进行使用前格式化时可对该磁盘进行预检并给出提示信息，运行中可支持以一定时间间隔对硬盘进行巡检；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3.支持多台设备之间磁盘漫游，磁盘中的数据不应丢失；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4.主处理器：采用不小于64位高性能多核处理器；</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5.高速缓存：≥8GB，可扩展至128GB；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6.网络接口：≥1个千兆管理电口，≥4个千兆数据电口；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7.硬盘盘位个数：≥36块硬盘盘位；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8.硬盘兼容性：1TB、2TB、3TB、4TB、5TB、6TB、8TB、10TB、12TB、14TB、16TB，支持SATA盘9.混插；SSD硬盘兼容2.5、3.5英寸；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10.视频直存：最大支持≥400路（800Mbps）前端接入、存储、转发，≥32路（64 Mbps）网络回放</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2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55英寸LCD液晶拼接屏</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1.单个屏幕尺寸：55英寸，≤3.5mm拼缝；最大分辨率：≥1920*1080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亮度：≥500cd/㎡，对比度：≥1200:1；平均无故障时间（MTBF）≥60000小时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2.设备响应时间≤8ms；单屏幕接口：VGA×1、 DVI×1 、HDMI×1 、CVBS in×1、USB×1；3.RS232 in×1、RS232 out×2；屏幕支持3D降噪处理技术；功耗≤200W，待机功耗≤0.5W；配套对应数量的维护支架；</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4.内置图像处理芯片，能够实时分析显示内容资料，实现在影片、汇报和监控三种场景模式下智能；</w:t>
            </w:r>
            <w:r>
              <w:rPr>
                <w:rStyle w:val="11"/>
                <w:rFonts w:hint="eastAsia" w:ascii="宋体" w:hAnsi="宋体" w:eastAsia="宋体" w:cs="宋体"/>
                <w:b/>
                <w:bCs/>
                <w:color w:val="auto"/>
                <w:sz w:val="24"/>
                <w:szCs w:val="24"/>
              </w:rPr>
              <w:t>(需提供权威检测机构出具的检测报告复印件进行佐证)</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5.具有检测并匹配与输入信源相同的颜色空间的功能，使显示画面不丢失暗阶、亮阶细节； 具有实时分析当前画面亮度分布比例，自动调整亮度值的功能，具有动态调节画面对比度，可提高暗阶画面亮度，增强暗画面显示细节的功能。</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拼接器</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10个HDMI输出接口、≥1个VGA输入接口、≥1个DVI输入接口、≥2个USB口、≥1个语音对讲输入、≥1个语音对讲输出、≥10个音频输出、≥8个报警输入、≥8个报警输出、≥1个RS485接口、≥5个CVBS输出接口（通过转接头实现）、≥1个RS232接口，≥2个千兆网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2.支持对输入的视频画面进行90°、180°、270°旋转显示。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支持PC 软件客户端、WEB 浏览器客户端、平台客户端、IPAD、可视化触控平台方式访问管理。</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大屏线缆</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处理器到大屏的HDMI线缆、电源排插等；</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18</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控制主机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二</w:t>
            </w:r>
          </w:p>
        </w:tc>
        <w:tc>
          <w:tcPr>
            <w:tcW w:w="297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出入口控制系统</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车道道闸</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1.车流量≤2000辆场景，左机右向直杆道闸；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2.支持直臂杆长≤3.5米，自带防砸胶条，起杆速度≥1.5秒；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3.具有遇阻返回功能：当闸杆下落时，遇到物体阻挡，将立即开闸；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4.应有自锁手动解除装置，停电时能解脱自锁，实现手动控制功能；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5.支持外接雷达、线圈、红外防砸功能；支持遥控远程控制；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6.防护等级：≥IP54；</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99"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车道抓拍一体机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1.传感器类型：≥1/3英寸CMOS；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2.补光灯数量：≥3颗；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3.图像分辨率：≥1920×1080；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4.镜头：标配2.7~13.5mm电动变焦镜头；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5.视频分辨率：主码流：≥1080P（1920×1080）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6.视频压缩标准：MJPEG;H.264H;H.265；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7.触发方式：支持视频检测、I/O线圈、雷达三种触发方式；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8.最大补光距离：≥8m；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9.断网续传：支持平台/FTP；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10.车辆检测：车辆捕获率≥99.5%；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11.车辆识别：支持车牌号码、无牌车、新能源车牌识别车牌识别率≥99.5%；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12.网络接口：≥1个，10/100M以太网口（RJ-45）；防护等级：≥IP66</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车道防砸雷达</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1.发射频率：77GHz~81GHz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2.发射功率：≥22dBm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3.俯仰 ±15 °，水 平±60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4.响应时间：≤100ms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5.检测目标：人、车；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6.支持在线调试、升级功能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7.检测区域：0.3~6m（可调）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8.防砸区域：0~2m（可调）</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摩托车道闸</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1.车流量≤2000辆场景，左机右向直杆道闸；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2.支持直臂杆长≤1米，自带防砸胶条，起杆速度≥1.5秒；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3.具有遇阻返回功能：当闸杆下落时，遇到物体阻挡，将立即开闸；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4.应有自锁手动解除装置，停电时能解脱自锁，实现手动控制功能；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5.支持外接雷达、线圈、红外防砸功能；支持遥控远程控制；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6.防护等级：≥IP54；</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摩托车抓拍一体机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1.传感器类型：≥1/3英寸CMOS；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2.补光灯数量：≥3颗；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3.图像分辨率：≥1920×1080；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4.镜头：标配2.7~13.5mm电动变焦镜头；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5.视频分辨率：主码流：≥1080P（1920×1080）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6.视频压缩标准：MJPEG;H.264H;H.265；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7.触发方式：支持视频检测、I/O线圈、雷达三种触发方式；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8.最大补光距离：≥8m；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9.断网续传：支持平台/FTP；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10.车辆检测：车辆捕获率≥99.5%；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11.车辆识别：支持车牌号码、无牌车、新能源车牌识别车牌识别率≥99.5%；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12.网络接口：≥1个，10/100M以太网口（RJ-45）；防护等级：≥IP66</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摩托车防砸雷达</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1.发射频率：77GHz~81GHz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发射功率：≥22dBm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2.俯仰 ±15 °，水 平±60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响应时间：≤100ms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3.检测目标：人、车；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4.支持在线调试、升级功能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5.检测区域：0.3~6m（可调）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6.防砸区域：0~2m（可调）</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人行道闸（两通道同进同出）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1.左摆闸；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2.驱动电机：直流无刷伺服电机；MCBF：≥500万次；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3.通道宽度：不锈钢：600mm-1100mm亚克力：600mm-900mm；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4.红外对射对数：≥12对；开门模式：刷卡/人脸识别；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5.输入接口：RS232串口/RS485接口；</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人行道闸（两通道同进同出）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1.中摆闸；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2.驱动电机：直流无刷伺服电机；MCBF：≥500万次；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3.通道宽度：不锈钢：600mm-1100mm亚克力：600mm-900mm；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4.红外对射对数：≥12对；开门模式：刷卡/人脸识别；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5.输入接口：RS232串口/RS485接口；</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人行道闸（两通道同进同出）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1.右摆闸；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2.驱动电机：直流无刷伺服电机；MCBF：≥500万次；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3.通道宽度：不锈钢：600mm-1100mm亚克力：600mm-900mm；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4.红外对射对数：≥12对；开门模式：刷卡/人脸识别；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5.输入接口：RS232串口/RS485接口；</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人脸闸机主机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1.主处理器：高性能嵌入式处理器；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2.显示屏：≥7英寸液晶屏；屏幕类型：电容触摸屏；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3.屏幕分辩率：≥600(H)×1024；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4.摄像头：≥200万双目摄像头；；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5.支持远程/密码/二维码/人脸识别开门模式，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6.支持测温，支持人脸识别开门模式；；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7.人脸识别准确率：≥99.5%；人脸识别速度：≥0.35s；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8.人脸容量：≥5万张；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9.存储记录数量：≥10万条刷卡记录；</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99" w:type="pct"/>
            <w:vMerge w:val="restar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道闸门翼</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门翼：600mm-900mm；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99"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三</w:t>
            </w:r>
          </w:p>
        </w:tc>
        <w:tc>
          <w:tcPr>
            <w:tcW w:w="297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门禁系统</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门禁一体机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1.主处理器：高性能嵌入式处理器；显示屏：液晶黑白显示屏；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2.屏幕类型：非触摸屏；屏幕分辩率：≥128×32；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3.支持刷卡/密码开门模式；支持组合开门模式设置；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4.支持防反潜、防拆报警、胁迫报警、门超时报警、非法闯入报警黑白名单设定、多卡开门、多重认证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5.存储记录数量：≥150000条刷卡记录；RS-485接口：≥1个；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6.韦根接口：≥1个；网络接口：≥1个10M/100M以太网口；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7.报警联动：支持；开门按钮：≥1路；门状态检测：≥1路；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8.门锁控制：≥1路；</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76</w:t>
            </w:r>
          </w:p>
        </w:tc>
        <w:tc>
          <w:tcPr>
            <w:tcW w:w="499" w:type="pct"/>
            <w:tcBorders>
              <w:top w:val="single" w:color="000000" w:sz="6" w:space="0"/>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人脸门禁一体机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1.主处理器：高性能嵌入式处理器；显示屏：≥8英寸LCD屏；屏幕类型：电容触摸屏；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2.摄像头：≥200万双目摄像头；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3.支持远程/人脸识别/刷卡/密码/二维码开门模式；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4.支持组合开门模式设置；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5.支持；报警联动、防反潜、防拆报警、胁迫报警、门超时报警、非法闯入报警、；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6.人脸识别准确率：≥99.90%；人脸识别速度：≥0.2s；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7.网络接口：≥1个10Mbps/100Mbps以太网口；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8.开门按钮：≥1路；门状态检测：≥1路；门锁控制：≥1路</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发卡器</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1.支持Mifare卡（IC卡）刷卡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2.支持USB2.0接口，即插即用，无需安装驱动</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门禁主机电源</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1.输入电压：交流AC100-240V 50/60HZ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2.输出电压：直流DC12V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3.输出电流：≥2A。</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82</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磁力锁（单门）</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1.工作电压：DC12V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2.工作电流：≥500mA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3.开锁时间：≤1s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4.承受拉力：≥280KG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5.安全类型：通电上锁、断电开锁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6.适用范围：木门、玻璃门、金属门防火门</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磁力锁（双门）</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1.工作电压：DC12V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2.工作电流：≥500mA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3.开锁时间：≤1s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4.承受拉力：≥280KG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5.安全类型：通电上锁、断电开锁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6.适用范围：木门、玻璃门、金属门防火门</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69</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磁力锁支架（单门）</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配套磁力锁、定制。断电开门、防残磁设 计、双重锁体绝缘处理。</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磁力锁支架（双门）</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配套磁力锁、定制。断电开门、防残磁设 计、双重锁体绝缘处理。</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69</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锁电源</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1.输入电压：交流AC100-240V 50/60HZ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2.输出电压：直流DC12V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3.输出电流：≥2A。</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82</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闭门器</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门重：25-65KG,国标。</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93</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出门按钮</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门禁开关按钮，86型。</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82</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IC卡</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1.工作频率：≥13.56MHZ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2.读写距离：2.5-10cm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3.读写时间：1-2ms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4.擦写次数：≥10万</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1000</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四</w:t>
            </w:r>
          </w:p>
        </w:tc>
        <w:tc>
          <w:tcPr>
            <w:tcW w:w="297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巡更系统</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管理软件</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1.支持通过USB接口调取巡更棒数据。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2.支持卡号（人员纽）管理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3.支持巡更线路设置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4.支持班组设置管理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5.支持巡更计划管理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6.支持巡更数据报表导出。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7.支持电脑查询报表。</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single" w:color="000000" w:sz="6" w:space="0"/>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人员纽</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1.具有防尘、防水、防摔特性，方便携带。</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2.采用ABS外壳。</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3.支持无接触式感应，感应距离0-3CM。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巡更棒</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1.无接触式感应，感应距离0-3CM。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2.电池类型：锂电池。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3.工作温度-40°C~+95°C。</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4.存储容量≥10万条。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5.接口方式：USB接口。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6.提示方式：灯光/声音/振动。</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巡更点</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1.具有防尘、防水、防摔等特性。</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2.无需电源、无需布线的方式安装。</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3.安装方式：支持膨胀螺丝和AB胶固定。</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4.材料采用ABS或者金属外壳。</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5.支持无接触式感应，感应距离0-3CM。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38</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五</w:t>
            </w:r>
          </w:p>
        </w:tc>
        <w:tc>
          <w:tcPr>
            <w:tcW w:w="297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考勤系统</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0"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考勤机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1.该考勤机与市局现有考勤系统对接。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2.采用≥10.1英寸LCD触摸显示屏，≥200万像素摄像头，支持照片视频防假；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3.设备容量：支持≥20000张人脸白名单，≥50000条记录；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3.认证方式：支持人脸、刷卡、密码（指工号+密码）及其组合的认证方式，可读取Mifare卡（IC卡）卡号及内容、CPU序列号、身份证序列号；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4.通讯方式：上行通讯为TCP/IP；</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single" w:color="000000" w:sz="6" w:space="0"/>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考勤机电源</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1.输入电压：交流AC100-240V 50/60HZ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2.输出电压：直流DC12V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3.输出电流：≥3A。</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六</w:t>
            </w:r>
          </w:p>
        </w:tc>
        <w:tc>
          <w:tcPr>
            <w:tcW w:w="297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消费系统</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消费机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1.支持设备管理、分配机具地址、系统密钥、刷卡时段、权授级别、采集记录、补采记录、离线消费、手动操作、退款操作、消费统计数据，消费明细；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2.CPU：≥32MHz；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3.支持M1卡、CPU卡；支持金额、定额等消费模式；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4.按键使用寿命≥100万次以上；刷卡响应时间﹤ 0.1秒；读卡距离≤50mm；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99" w:type="pct"/>
            <w:tcBorders>
              <w:top w:val="single" w:color="000000" w:sz="6" w:space="0"/>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充值机</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1.支持设备管理、分配机具地址、系统密钥、刷卡时段、权授级别、采集记录、补采记录、离线消费、手动操作、退款操作、消费统计数据，消费明细；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2.CPU：≥32MHz；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3.支持M1卡、CPU卡；支持金额、定额等消费模式；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4.按键使用寿命≥100万次以上；刷卡响应时间﹤ 0.1秒；读卡距离≤50mm；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99"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七</w:t>
            </w:r>
          </w:p>
        </w:tc>
        <w:tc>
          <w:tcPr>
            <w:tcW w:w="818" w:type="pct"/>
            <w:tcBorders>
              <w:top w:val="nil"/>
              <w:left w:val="nil"/>
              <w:bottom w:val="single" w:color="000000" w:sz="6" w:space="0"/>
              <w:right w:val="nil"/>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综合管网系统</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97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强电管道</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手孔</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含井盖、井圈、砖砌手孔等相关组成部分</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499" w:type="pct"/>
            <w:vMerge w:val="restar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42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波纹管</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符合国标、聚乙烯材质、外径110mm。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832</w:t>
            </w:r>
          </w:p>
        </w:tc>
        <w:tc>
          <w:tcPr>
            <w:tcW w:w="499" w:type="pct"/>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引上钢管(50)</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双面镀锌钢管 直径D50mm 壁厚≥3.0mm含固定卡扣、直接等</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根</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99" w:type="pct"/>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97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弱电管道</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手孔</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含井盖、井圈、砖砌手孔等相关组成部分</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499" w:type="pct"/>
            <w:vMerge w:val="restar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波纹管</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符合国标、聚乙烯材质、外径110mm。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832</w:t>
            </w:r>
          </w:p>
        </w:tc>
        <w:tc>
          <w:tcPr>
            <w:tcW w:w="499" w:type="pct"/>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引上钢管(50)</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双面镀锌钢管 管径D50mm 壁厚≥3.0mm含固定卡扣、直接等</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根</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99" w:type="pct"/>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八</w:t>
            </w:r>
          </w:p>
        </w:tc>
        <w:tc>
          <w:tcPr>
            <w:tcW w:w="2972"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辅材</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9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2.线缆外径：5.1±0.5mm；绝缘层：≥0.2mm；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3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16992</w:t>
            </w:r>
          </w:p>
        </w:tc>
        <w:tc>
          <w:tcPr>
            <w:tcW w:w="499" w:type="pct"/>
            <w:vMerge w:val="restar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三芯多股铜芯护套线</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符合国标，RVV3*≥线径1.0mm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8528</w:t>
            </w:r>
          </w:p>
        </w:tc>
        <w:tc>
          <w:tcPr>
            <w:tcW w:w="499" w:type="pct"/>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PVC阻燃线管</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符合国标，PVC管径≥25mm，壁厚≥1.0mm含固定卡扣、直接、弯头、胶水等</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15098</w:t>
            </w:r>
          </w:p>
        </w:tc>
        <w:tc>
          <w:tcPr>
            <w:tcW w:w="499" w:type="pct"/>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符合国标，管径≥25mm,壁厚≥1.0mm含固定卡扣、弯头、镙栓等</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2595</w:t>
            </w:r>
          </w:p>
        </w:tc>
        <w:tc>
          <w:tcPr>
            <w:tcW w:w="499" w:type="pct"/>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三芯多股铜芯护套线</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符合国标，RVV3*≥线径2.5mm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60</w:t>
            </w:r>
          </w:p>
        </w:tc>
        <w:tc>
          <w:tcPr>
            <w:tcW w:w="499" w:type="pct"/>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地感线</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符合国标，≥线径1.0mm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500</w:t>
            </w:r>
          </w:p>
        </w:tc>
        <w:tc>
          <w:tcPr>
            <w:tcW w:w="499" w:type="pct"/>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539"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1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抱杆机箱</w:t>
            </w:r>
          </w:p>
        </w:tc>
        <w:tc>
          <w:tcPr>
            <w:tcW w:w="215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室外防水抱杆机箱、采用冷轧钢板≥H400mm*W500mm*D300mm。</w:t>
            </w:r>
          </w:p>
        </w:tc>
        <w:tc>
          <w:tcPr>
            <w:tcW w:w="353"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35"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99" w:type="pct"/>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4"/>
          <w:szCs w:val="24"/>
          <w:shd w:val="clear" w:fill="FFFFFF"/>
        </w:rPr>
        <w:t>2、计算机网络综合布线系统清单</w:t>
      </w:r>
    </w:p>
    <w:tbl>
      <w:tblPr>
        <w:tblStyle w:val="9"/>
        <w:tblW w:w="5142"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36"/>
        <w:gridCol w:w="1486"/>
        <w:gridCol w:w="3794"/>
        <w:gridCol w:w="615"/>
        <w:gridCol w:w="649"/>
        <w:gridCol w:w="477"/>
        <w:gridCol w:w="89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序号</w:t>
            </w:r>
          </w:p>
        </w:tc>
        <w:tc>
          <w:tcPr>
            <w:tcW w:w="8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货物名 称</w:t>
            </w:r>
          </w:p>
        </w:tc>
        <w:tc>
          <w:tcPr>
            <w:tcW w:w="214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参数规格</w:t>
            </w:r>
          </w:p>
        </w:tc>
        <w:tc>
          <w:tcPr>
            <w:tcW w:w="34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单位</w:t>
            </w:r>
          </w:p>
        </w:tc>
        <w:tc>
          <w:tcPr>
            <w:tcW w:w="366"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数量</w:t>
            </w:r>
          </w:p>
        </w:tc>
        <w:tc>
          <w:tcPr>
            <w:tcW w:w="26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备注</w:t>
            </w:r>
          </w:p>
        </w:tc>
        <w:tc>
          <w:tcPr>
            <w:tcW w:w="50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技术评分项号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一</w:t>
            </w:r>
          </w:p>
        </w:tc>
        <w:tc>
          <w:tcPr>
            <w:tcW w:w="2981"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语音</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110配线架100对</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机架式110型配线架100对，符合电信产品生产标准。</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消控</w:t>
            </w:r>
          </w:p>
        </w:tc>
        <w:tc>
          <w:tcPr>
            <w:tcW w:w="50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110配线架50对</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机架式110型配线架50对，符合电信产品生产标准。</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弱电机柜</w:t>
            </w: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大对数电话电缆50对</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50*2*≥0.4mm，符合电信产品生产标准。</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100</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47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大对数电话电缆30对</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30*2*≥0.4mm，符合电信产品生产标准。</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85</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48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大对数电话电缆20对</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20*2*≥0.4mm，符合电信产品生产标准。</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220</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49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二</w:t>
            </w:r>
          </w:p>
        </w:tc>
        <w:tc>
          <w:tcPr>
            <w:tcW w:w="2981"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公安网</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接入三层交换机（24口）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1.提供10/100/1000MBase-T端口数≥24，提供非复用的千兆SFP光插槽≥4；交换容量≥256Gbps，包转发率≥96Mpps；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r>
              <w:rPr>
                <w:rStyle w:val="11"/>
                <w:rFonts w:hint="eastAsia" w:ascii="宋体" w:hAnsi="宋体" w:eastAsia="宋体" w:cs="宋体"/>
                <w:b/>
                <w:bCs/>
                <w:color w:val="auto"/>
                <w:sz w:val="24"/>
                <w:szCs w:val="24"/>
              </w:rPr>
              <w:t>（需提供官网链接及截图进行佐证）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接入三层交换机（48口）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1.提供10/100/1000MBase-T端口数≥48，提供非复用的千兆SFP光插槽≥4；交换容量≥256Gbps，包转发率≥96Mpps；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r>
              <w:rPr>
                <w:rStyle w:val="11"/>
                <w:rFonts w:hint="eastAsia" w:ascii="宋体" w:hAnsi="宋体" w:eastAsia="宋体" w:cs="宋体"/>
                <w:b/>
                <w:bCs/>
                <w:color w:val="auto"/>
                <w:sz w:val="24"/>
                <w:szCs w:val="24"/>
              </w:rPr>
              <w:t>（需提供官网链接及截图进行佐证）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公安网汇聚交换机（24口）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1.整机交换容量≥7.56Tbps，包转发能力≥396Mpps；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2.整机支持≥24个千兆光口，万兆光口≥4个万兆SFP+口 ，万兆端口支持千兆自适应；</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3.支持≥1个扩展插槽，可扩展万兆端口数量≥12个或40G端口数量≥2个；</w:t>
            </w:r>
            <w:r>
              <w:rPr>
                <w:rStyle w:val="11"/>
                <w:rFonts w:hint="eastAsia" w:ascii="宋体" w:hAnsi="宋体" w:eastAsia="宋体" w:cs="宋体"/>
                <w:b/>
                <w:bCs/>
                <w:color w:val="auto"/>
                <w:sz w:val="24"/>
                <w:szCs w:val="24"/>
              </w:rPr>
              <w:t>（需提供官网链接及截图进行佐证）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4.配置上述端口后，至少余下≥1个业务插槽，可以扩展配置防火墙模块，实现区域安全防护。且通过添加liciense或添加硬件模块等方式实现入侵防御系统，防病毒，负载均衡，应用识别，SSL VPN等功能。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5.支持VxLAN二层交换，支持VxLAN路由交换；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6.支持可插拔双电源，支持可插拔双风扇，风扇支持端口侧/端口侧出风；实配双电源双风扇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72芯光纤配线架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72芯光纤配线架 满配尾纤和耦合器，机柜螺丝，符合国标。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50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千兆单模光模块</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光模块-SFP-GE-单模模块-(≥1310nm,≥10km)</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25</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51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万兆单模光模块</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光模块-SFP+万兆模块(≥1310nm,≥10km,LC)</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52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24口配线架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CAT6千兆24口配线架，符合国标。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53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12芯光纤配线架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12芯光纤配线架 满配尾纤和耦合器，机柜螺丝，符合国标。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54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理线架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符合19英寸标准机柜使用，符合国标。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55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超六类跳线</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8芯双绞成品线缆，≤1米。符合国标。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360</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56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三</w:t>
            </w:r>
          </w:p>
        </w:tc>
        <w:tc>
          <w:tcPr>
            <w:tcW w:w="2981"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互联网</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吸顶AP</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1.采用整机双频4流设 计，可同时工作在802.11a/b/g/n/ac/ac wave2/ax模式。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2.整机协商速率≥1.775Gbps，其中5G射频速率≥1.2G，2.4G速率≥0.575G。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3.≥1个10/100/1000Mbps(RJ45)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内置智能天线系统，支持802.3af兼容供电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5.整机接入用户规格≥1024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6.支持基于空口利用率的SSID自动隐藏功能，当空口繁忙程度达到或超过配置的阈值时，SSID自动隐藏，为用户提供稳定可靠的无线服务。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7.支持WPA3个人级方式下的终端接入；支持WPA3企业级模式下的终端接入功能。</w:t>
            </w:r>
            <w:r>
              <w:rPr>
                <w:rStyle w:val="11"/>
                <w:rFonts w:hint="eastAsia" w:ascii="宋体" w:hAnsi="宋体" w:eastAsia="宋体" w:cs="宋体"/>
                <w:b/>
                <w:bCs/>
                <w:color w:val="auto"/>
                <w:sz w:val="24"/>
                <w:szCs w:val="24"/>
              </w:rPr>
              <w:t>(需提供权威检测机构出具的检测报告复印件进行佐证)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吸顶AP（高密）</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1.采用三射频设 计，可工作在802.11a/b/g/n/ac/ac wave2/ax模式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2.≥2个接口，其中1个100/1000M/2.5G电口，1个10M/100M/1000M电口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2个5GHz射频支持WIFI6协议，2.4GHz单射频最大协商速率≥0.575Gbps，整机协商速率≥3.2Gbps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4.Wi-Fi 6射频可切换，其中一个射频支持2.4G射频和5G射频切换。</w:t>
            </w:r>
            <w:r>
              <w:rPr>
                <w:rStyle w:val="11"/>
                <w:rFonts w:hint="eastAsia" w:ascii="宋体" w:hAnsi="宋体" w:eastAsia="宋体" w:cs="宋体"/>
                <w:b/>
                <w:bCs/>
                <w:color w:val="auto"/>
                <w:sz w:val="24"/>
                <w:szCs w:val="24"/>
              </w:rPr>
              <w:t>（需提供官网链接及截图进行佐证）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5.为保证高密用户接入，整机5GHz射频空间流≥6流，2.4GHz射频空间流≥4流。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6.整机接入用户规格≥1280</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面板AP</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1.采用整机双频4流设 计，可同时工作在802.11a/b/g/n/ac/ac wave2/ax模式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2.整机协商速率≥1.775Gbps，其中5G射频速率≥1.2G，2.4G速率≥0.575。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3.整机接口≤1个10/100/1000Mbps(RJ45)千兆接口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4.支持基于空口利用率的SSID自动隐藏功能，当空口繁忙程度达到或超过配置的阈值时，SSID自动隐藏，为用户提供稳定可靠的无线服务。</w:t>
            </w:r>
            <w:r>
              <w:rPr>
                <w:rStyle w:val="11"/>
                <w:rFonts w:hint="eastAsia" w:ascii="宋体" w:hAnsi="宋体" w:eastAsia="宋体" w:cs="宋体"/>
                <w:b/>
                <w:bCs/>
                <w:color w:val="auto"/>
                <w:sz w:val="24"/>
                <w:szCs w:val="24"/>
              </w:rPr>
              <w:t>(需提供权威检测机构出具的检测报告复印件进行佐证)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148</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定向天线AP</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1.双频4流设 计，整机接入速率高可达2.4Gbps，采用2条空间流，最大接入速率1.2Gbps</w:t>
            </w:r>
            <w:r>
              <w:rPr>
                <w:rStyle w:val="11"/>
                <w:rFonts w:hint="eastAsia" w:ascii="宋体" w:hAnsi="宋体" w:eastAsia="宋体" w:cs="宋体"/>
                <w:b/>
                <w:bCs/>
                <w:color w:val="auto"/>
                <w:sz w:val="24"/>
                <w:szCs w:val="24"/>
              </w:rPr>
              <w:t>（需提供官网链接及截图进行佐证）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2.≥1个1000M SFP光接口，≥2个100/1000M接口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3.支持链式物联网扩展能力。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4.采用内置智能定向天线系统</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接入三层交换机（24口）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1.提供10/100/1000MBase-T端口数≥24，提供非复用的千兆SFP光插槽≥4；交换容量≥256Gbps，包转发率≥96Mpps；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r>
              <w:rPr>
                <w:rStyle w:val="11"/>
                <w:rFonts w:hint="eastAsia" w:ascii="宋体" w:hAnsi="宋体" w:eastAsia="宋体" w:cs="宋体"/>
                <w:b/>
                <w:bCs/>
                <w:color w:val="auto"/>
                <w:sz w:val="24"/>
                <w:szCs w:val="24"/>
              </w:rPr>
              <w:t>（需提供官网链接及截图进行佐证）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接入三层交换机（48口）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1.提供10/100/1000MBase-T端口数≥48，提供非复用的千兆SFP光插槽≥4；交换容量≥256Gbps，包转发率≥96Mpps；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r>
              <w:rPr>
                <w:rStyle w:val="11"/>
                <w:rFonts w:hint="eastAsia" w:ascii="宋体" w:hAnsi="宋体" w:eastAsia="宋体" w:cs="宋体"/>
                <w:b/>
                <w:bCs/>
                <w:color w:val="auto"/>
                <w:sz w:val="24"/>
                <w:szCs w:val="24"/>
              </w:rPr>
              <w:t>（需提供官网链接及截图进行佐证）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24口POE交换机</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1.提供10/100/1000MBase-T端口数≥24（端口支持POE++模式供电），提供非复用的千兆SFP光插槽≥4；交换容量≥256Gbps，包转发率≥96Mpps；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r>
              <w:rPr>
                <w:rStyle w:val="11"/>
                <w:rFonts w:hint="eastAsia" w:ascii="宋体" w:hAnsi="宋体" w:eastAsia="宋体" w:cs="宋体"/>
                <w:b/>
                <w:bCs/>
                <w:color w:val="auto"/>
                <w:sz w:val="24"/>
                <w:szCs w:val="24"/>
              </w:rPr>
              <w:t>（需提供官网链接及截图进行佐证）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19</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互联网汇聚交换机(48口)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1.整机交换容量≥7.56Tbps，包转发能力≥396Mpps；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2.整机支持≥48个千兆光口，万兆光口≥4个；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3.配置上述端口后，至少余下≥1个业务插槽，可以扩展配置防火墙模块，实现区域安全防护。且通过添加liciense或添加硬件模块等方式实现入侵防御系统，防病毒，负载均衡，应用识别，SSL VPN等功能。</w:t>
            </w:r>
            <w:r>
              <w:rPr>
                <w:rStyle w:val="11"/>
                <w:rFonts w:hint="eastAsia" w:ascii="宋体" w:hAnsi="宋体" w:eastAsia="宋体" w:cs="宋体"/>
                <w:b/>
                <w:bCs/>
                <w:color w:val="auto"/>
                <w:sz w:val="24"/>
                <w:szCs w:val="24"/>
              </w:rPr>
              <w:t>（需提供官网链接及截图进行佐证）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4.支持VxLAN二层交换，支持VxLAN路由交换；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5.支持可插拔双电源，支持可插拔双风扇，风扇支持端口侧/端口侧出风；实配双电源双风扇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防火墙网关</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 1U机架式设备，自带不少于8个GE(电)口（至少一对bypass接口），1个CON口，1个MGT口，两个USB3.0接口。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防火墙吞吐量≥5G，最大并发≥200万。每秒新建连接数≥4.8万，Ipsec最大隧道数≥4000个。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实配三年软件升级服务，三年IPS升级服务和三年AV特征库升级服务。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具备NAT端口扩展技术，要支持将单个公网ip可用端口扩大10-16倍。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具备NAT转换地址池IP地址可用性分析功能，避免因NAT地址无法使用导致业务中断。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源NAT、目的NAT支持策略命中数分析，可显示命中数、首次命中时间、最近一次命中时间、最近未命中天数、创建时间等信息。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配置策略时，服务元素可以直接在策略中填写协议、端口号，无需先定义服务对象再调用，支持基于协议+端口的策略自学习功能，根据学习结果生成安全策略。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具有防止共享上网，可识别共享上网终端的数量、操作系统类型及版本；可统计共享上网终端在线时间、上线时间、最后上线时间；可根据接入终端数量、IP地址作为条件筛选共享终端。</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上网行为管理</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 1U机架式设备，自带不少于10个GE电口（至少一对bypass接口），4个Combo口。实配SSD硬盘不低于500G。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网络层吞吐≥5Gbps，应用层吞吐率≥2Gbps，最大并发连接≥100万，每秒新建连接≥3.2万。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实配三年软件升级服务，三年应用协议特征库升级服务和三年URL特征库升级服务。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支持路由模式、透明（网桥）模式、混合模式、旁路模式；旁路部署支持加入2个以上物理接口，无需接口对；部署模式切换无需重启设备。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支持七元组策略路由，支持基于线路权重进行负载转发。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支持基于负载链路进行dns-dnat机制，解决用户主机配置DNS解析结果，与实际转发运营商链路解析结果有冲突，从而导致跨运营商访问慢的问题；支持进行DNS探测，针对探测失败情况，支持选择禁用dns-dnat功能或禁用负载链路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支持直连网段和特定网段的负载均衡排除；支持过载保护、会话保持，会话保持可实现用户的访问请求均分配1. 1U机架式设备，自带不少于10个GE电口（至少一对bypass接口），4个Combo口。实配SSD硬盘不低于500G。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网络层吞吐≥5Gbps，应用层吞吐率≥2Gbps，最大并发连接≥100万，每秒新建连接≥3.2万。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实配三年软件升级服务，三年应用协议特征库升级服务和三年URL特征库升级服务。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支持路由模式、透明（网桥）模式、混合模式、旁路模式；旁路部署支持加入2个以上物理接口，无需接口对；部署模式切换无需重启设备。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支持七元组策略路由，支持基于线路权重进行负载转发。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支持基于负载链路进行dns-dnat机制，解决用户主机配置DNS解析结果，与实际转发运营商链路解析结果有冲突，从而导致跨运营商访问慢的问题；支持进行DNS探测，针对探测失败情况，支持选择禁用dns-dnat功能或禁用负载链路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支持直连网段和特定网段的负载均衡排除；支持过载保护、会话保持，会话保持可实现用户的访问请求均分配至同一出口。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支持5元组的负载均衡策略，转换类型支持地址映射或端口映射。</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57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安全审计设备</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 1U机架服务器架构，硬盘≥4T，内存≥8G，≥6个千兆电口，单电源。日志接收性能（EPS）≥15000。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实配三年软件升级服务。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支持可以以日志等级进行过滤；支持自定义将用户不关心的日志过滤掉；支持对收集到的重复的日志进行自动的聚合归并，减少日志量；支持日志导入；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支持日志清理功能，确保日志的可靠存储和系统的稳定运行；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对事件日志、网络日志、配置日志、IPS日志、威胁日志、安全日志、会话日志、策略路由日志、NAT日志（含NAT444）、URL日志、IM（包含QQ、微信）上下线日志、论坛发帖日志、邮件日志、FTP日志进行自定义查询条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支持设备的可用性状态，包括CPU、内存、硬盘（包括NFS存储）; 支持各类型日志、各设备日志接收趋势统计；支持对发送日志的设备进行监控；支持硬盘健康状态及Raid状态监控; 支持自定义监控面板和监控内容；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内置日志堆积、硬盘状态、CPU使用率、内存使用率、HDD使用率、NFS HDD使用率、登入、日志清理、威胁日志数量超限、严重级别威胁日志数量超限及名 称为DOS的威胁日志数量超限；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根据三权分立的原则和要求进行职、权分离，对系统本身进行分角色定义，如管理员只负责完成设备的初始配置，规则配置员只负责审计规则的建立，审计员只负责查看相关的审计结果及告警内容；日志源只负责完成对系统本身的用户操作日志管理。系统自带自身管理日志。</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AC控制器</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1.无线控制器，管理常规AP最大数量≥384；数据转发性能≥10Gbps，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2.配置≥12个千兆GE端口，≥8个千兆SFP端口，以及≥2个万兆SFP+端口，支持双电源备份；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3.支持标准IETF 5415 CAPWAP协议，AP与控制器之间支持DTLS对CAPWAP隧道加密；支持MAC 地址认证、802.1x认证、Portal认证、MAC+Portal混合认证、WAPI认证；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4.支持Private PSK方式的动态密码功能；支持WPA3个人级方式下的终端接入；支持全网Portal漫游信息、全网802.1X漫游信息同步；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5.支持雷达检测SSID逃生、MAC认证逃生、Portal认证逃生功能；支持空口优化；</w:t>
            </w:r>
            <w:r>
              <w:rPr>
                <w:rStyle w:val="11"/>
                <w:rFonts w:hint="eastAsia" w:ascii="宋体" w:hAnsi="宋体" w:eastAsia="宋体" w:cs="宋体"/>
                <w:b/>
                <w:bCs/>
                <w:color w:val="auto"/>
                <w:sz w:val="24"/>
                <w:szCs w:val="24"/>
              </w:rPr>
              <w:t>(需提供权威检测机构出具的检测报告复印件进行佐证)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千兆单模光模块</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光模块-SFP-GE-单模模块-(≥1310nm,≥10km)</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60</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58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万兆单模光模块</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光模块-SFP+万兆模块(≥1310nm,≥10km,LC)</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59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72芯光纤配线架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72芯光纤配线架 满配尾纤和耦合器，机柜螺丝，符合国标。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60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24口配线架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CAT6千兆24口配线架，符合国标。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61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12芯光纤配线架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12芯光纤配线架 含尾纤和耦合器，机柜螺丝，符合国标。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18</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62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18</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理线架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符合19英寸标准机柜使用，符合国标。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63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19</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超六类跳线</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8芯双绞成品线缆，≤1米。符合国标。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768</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64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四</w:t>
            </w:r>
          </w:p>
        </w:tc>
        <w:tc>
          <w:tcPr>
            <w:tcW w:w="2981"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智能化专网</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接入三层交换机（24口）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1.提供10/100/1000MBase-T端口数≥24，提供非复用的千兆SFP光插槽≥4；交换容量≥256Gbps，包转发率≥96Mpps；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r>
              <w:rPr>
                <w:rStyle w:val="11"/>
                <w:rFonts w:hint="eastAsia" w:ascii="宋体" w:hAnsi="宋体" w:eastAsia="宋体" w:cs="宋体"/>
                <w:b/>
                <w:bCs/>
                <w:color w:val="auto"/>
                <w:sz w:val="24"/>
                <w:szCs w:val="24"/>
              </w:rPr>
              <w:t>（需提供官网链接及截图进行佐证）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29</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智能化网汇聚交换机(48口)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1.整机交换容量≥7.56Tbps，包转发能力≥396Mpps；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2.整机支持≥48个千兆光口，万兆光口≥4个；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3.配置上述端口后，至少余下≥1个业务插槽，可以扩展配置防火墙模块，实现区域安全防护。且通过添加liciense或添加硬件模块等方式实现入侵防御系统，防病毒，负载均衡，应用识别，SSL VPN等功能。</w:t>
            </w:r>
            <w:r>
              <w:rPr>
                <w:rStyle w:val="11"/>
                <w:rFonts w:hint="eastAsia" w:ascii="宋体" w:hAnsi="宋体" w:eastAsia="宋体" w:cs="宋体"/>
                <w:b/>
                <w:bCs/>
                <w:color w:val="auto"/>
                <w:sz w:val="24"/>
                <w:szCs w:val="24"/>
              </w:rPr>
              <w:t>（需提供官网链接及截图进行佐证）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4.支持VxLAN二层交换，支持VxLAN路由交换；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5.支持可插拔双电源，支持可插拔双风扇，风扇支持端口侧/端口侧出风；实配双电源双风扇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72芯光纤配线架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72芯光纤配线架 含尾纤和耦合器、机柜螺丝，符合国标。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65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千兆单模光模块</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光模块-SFP-GE-单模模块-(≥1310nm,≥10km)</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64</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66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万兆单模光模块</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光模块-SFP+万兆模块(≥1310nm,≥10km,LC)</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67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12芯光纤配线架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12芯光纤配线架 含尾纤和耦合器，机柜螺丝，符合国标。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23</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68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24口配线架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CAT6千兆24口配线架，符合国标。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29</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69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理线架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符合19英寸标准机柜使用，符合国标。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29</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70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超六类跳线</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8芯双绞成品线缆，≤1米。符合国标。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696</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71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五</w:t>
            </w:r>
          </w:p>
        </w:tc>
        <w:tc>
          <w:tcPr>
            <w:tcW w:w="2981"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备用网</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接入三层交换机（24口）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1.提供10/100/1000MBase-T端口数≥24，提供非复用的千兆SFP光插槽≥4；交换容量≥256Gbps，包转发率≥96Mpps；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r>
              <w:rPr>
                <w:rStyle w:val="11"/>
                <w:rFonts w:hint="eastAsia" w:ascii="宋体" w:hAnsi="宋体" w:eastAsia="宋体" w:cs="宋体"/>
                <w:b/>
                <w:bCs/>
                <w:color w:val="auto"/>
                <w:sz w:val="24"/>
                <w:szCs w:val="24"/>
              </w:rPr>
              <w:t>（需提供官网链接及截图进行佐证）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接入三层交换机（48口）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1.提供10/100/1000MBase-T端口数≥48，提供非复用的千兆SFP光插槽≥4；交换容量≥256Gbps，包转发率≥96Mpps；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r>
              <w:rPr>
                <w:rStyle w:val="11"/>
                <w:rFonts w:hint="eastAsia" w:ascii="宋体" w:hAnsi="宋体" w:eastAsia="宋体" w:cs="宋体"/>
                <w:b/>
                <w:bCs/>
                <w:color w:val="auto"/>
                <w:sz w:val="24"/>
                <w:szCs w:val="24"/>
              </w:rPr>
              <w:t>（需提供官网链接及截图进行佐证）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备用网汇聚交换机（24口）</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1.整机交换容量≥7.56Tbps，包转发能力≥396Mpps；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2.整机支持≥24个千兆光口，万兆光口≥4个万兆SFP+口 ，万兆端口支持千兆自适应；</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3.支持1个扩展插槽，可扩展万兆端口数量≥12个或40G端口数量≥2个；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4.配置上述端口后，至少余下≥1个业务插槽，可以扩展配置防火墙模块，实现区域安全防护。且通过添加liciense或添加硬件模块等方式实现入侵防御系统，防病毒，负载均衡，应用识别，SSL VPN等功能。</w:t>
            </w:r>
            <w:r>
              <w:rPr>
                <w:rStyle w:val="11"/>
                <w:rFonts w:hint="eastAsia" w:ascii="宋体" w:hAnsi="宋体" w:eastAsia="宋体" w:cs="宋体"/>
                <w:b/>
                <w:bCs/>
                <w:color w:val="auto"/>
                <w:sz w:val="24"/>
                <w:szCs w:val="24"/>
              </w:rPr>
              <w:t>（需提供官网链接及截图进行佐证）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5.支持VxLAN二层交换，支持VxLAN路由交换；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6.支持可插拔双电源，支持可插拔双风扇，风扇支持端口侧/端口侧出风；实配双电源双风扇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72芯光纤配线架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72芯光纤配线架 含尾纤和耦合器、机柜螺丝，符合国标。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72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千兆单模光模块</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光模块-SFP-GE-单模模块-(≥1310nm,≥10km)</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73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万兆单模光模块</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光模块-SFP+万兆模块(≥1310nm,≥10km,LC)</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74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12芯光纤配线架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12芯光纤配线架 含尾纤和耦合器，机柜螺丝，符合国标。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75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24口配线架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CAT6千兆24口配线架，符合国标。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76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理线架</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符合19英寸标准机柜使用，符合国标。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77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超六类跳线</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8芯双绞成品线缆，≤1米。符合国标。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288</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78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六</w:t>
            </w:r>
          </w:p>
        </w:tc>
        <w:tc>
          <w:tcPr>
            <w:tcW w:w="2981"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综合布线</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公安网+语音双口面板</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86型暗装，配备相应模块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类型:非屏蔽触点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工作温度:-20℃-60℃</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79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互联网+备用网双口面板</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86型暗装，配备相应模块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类型:RJ45非屏蔽触点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工作温度:-20℃-60℃</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90</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80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公安网+互联网+语音+备用四口地插</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1.类型:弹起式地插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2.面板材质:金属</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3.安装方式:暗装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4.配备相应模块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5.工作温度:-20℃-60℃</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29</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81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公安网+互联网两口地插</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1.类型:弹起式地插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2.面板材质:金属</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3.安装方式:暗装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4.配备相应模块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5.工作温度:-20℃-60℃</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82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12芯室内单模光缆</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1.技术特点：国标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2.光纤型号：G655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3.抗冲击力(g)：800 3次H=≤1m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4.光缆重量(Kg/Km)：80～130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5.光缆外径(mm)：8.3～11.2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6.光纤数量（芯）：12</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8500</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83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双工光跳线</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光纤跳线尾纤 ≥1米LC-FC 单模双工</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根</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77</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84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抱杆机箱</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室外防水抱杆机箱、采用冷轧钢板≥H400mm*W500mm*D300mm。</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85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19英寸标准机柜（24U）</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24U机柜，采用冷轧钢板，H1250mm*W600mm*D600mm、立柱≥2.0mm 。</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86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无线插板</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≥4孔位，符合国标。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321</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87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超六类4对非屏蔽电缆</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1.骨芯结构采用中心为十字芯设 计及23AWG线规，绝缘层采用高密度聚乙烯材料。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2.线缆外径：7.1±0.5mm；绝缘直径：1.12±0.05 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4.最大直流电阻：≤9.38Ω/100m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8826</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88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4.最大承受拉力：≥11.34kg。</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27572</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89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PVC阻燃线管</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符合国标，PVC管径≥25mm，壁厚≥1.0mm含固定卡扣、直接、弯头、胶水等</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768</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90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符合国标，管径≥25mm,壁厚≥1.0mm含固定卡扣、弯头、镙栓等</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14787</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91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七</w:t>
            </w:r>
          </w:p>
        </w:tc>
        <w:tc>
          <w:tcPr>
            <w:tcW w:w="2981"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运营商租凭费用</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52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网络租凭</w:t>
            </w:r>
          </w:p>
        </w:tc>
        <w:tc>
          <w:tcPr>
            <w:tcW w:w="214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祼光纤链路一条（从宁德市公安局至宁德市人民警察训练基地）、公安视频专网千兆链路一条（从宁德市公安局至宁德市人民警察训练基地）、互联网500M专用链路一条（固定IP，上行下行对称传输速率）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年</w:t>
            </w:r>
          </w:p>
        </w:tc>
        <w:tc>
          <w:tcPr>
            <w:tcW w:w="36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2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0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92</w:t>
            </w:r>
          </w:p>
        </w:tc>
      </w:tr>
    </w:tbl>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4"/>
          <w:szCs w:val="24"/>
          <w:shd w:val="clear" w:fill="FFFFFF"/>
        </w:rPr>
        <w:t>3、公共广播系统清单</w:t>
      </w:r>
    </w:p>
    <w:tbl>
      <w:tblPr>
        <w:tblStyle w:val="9"/>
        <w:tblW w:w="5134"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22"/>
        <w:gridCol w:w="1485"/>
        <w:gridCol w:w="3795"/>
        <w:gridCol w:w="615"/>
        <w:gridCol w:w="646"/>
        <w:gridCol w:w="451"/>
        <w:gridCol w:w="92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45" w:hRule="atLeast"/>
        </w:trPr>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序号</w:t>
            </w:r>
          </w:p>
        </w:tc>
        <w:tc>
          <w:tcPr>
            <w:tcW w:w="8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货物名 称</w:t>
            </w:r>
          </w:p>
        </w:tc>
        <w:tc>
          <w:tcPr>
            <w:tcW w:w="2146"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参数规格</w:t>
            </w:r>
          </w:p>
        </w:tc>
        <w:tc>
          <w:tcPr>
            <w:tcW w:w="34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单位</w:t>
            </w:r>
          </w:p>
        </w:tc>
        <w:tc>
          <w:tcPr>
            <w:tcW w:w="365"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数量</w:t>
            </w:r>
          </w:p>
        </w:tc>
        <w:tc>
          <w:tcPr>
            <w:tcW w:w="255"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备注</w:t>
            </w:r>
          </w:p>
        </w:tc>
        <w:tc>
          <w:tcPr>
            <w:tcW w:w="524"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技术评分项号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一</w:t>
            </w:r>
          </w:p>
        </w:tc>
        <w:tc>
          <w:tcPr>
            <w:tcW w:w="2986"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前端设备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综合训练馆</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吸顶扬声器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1.额定功率：(100V)≥6W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2.额定功率：(70V)≥3W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3.灵敏度)≥92dB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4.频率响应(-10dB)：110-18KHz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5.喇叭单元：≥5"×1</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走廊</w:t>
            </w: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93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室内壁挂音柱</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1．额定功率（100V）：≥40W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2．额定功率（70V）：≥20W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3．灵敏度：94dB±3dB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4．频率响应：130-18KHz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5．喇叭单元：≥4"x4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6.防护等级：≥IP66</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篮球馆、羽毛球馆、游泳馆</w:t>
            </w: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94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IP网络功放终端（120W）</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1.采用标准19英寸机架设 计，带有≥3.4英寸LCD显示屏。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2.内置1路网络硬件音频解码模块，支持播放背景音乐功能，支持单独调节音量。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3.支持1路线路输入和1路话筒输入接口，支持单独播放或分区/全区播放。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4.支持高低音调节电位器控制，频率响应范围80Hz～16KHz。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5.具有1路EMC输入接口，具有最高优先级；具有1路音频输出接口。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6.具有1路三线制强切输出接口，无需强切电源。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7.集成数字功放，功率≥120W；支持定压方式输出。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8.具有1路RJ45网络接口，信噪比＞65dB。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9.设备内置有主备切换检测模块，在断网或断电的故障情况下，实现自动切换到100V定压备份通道，主备切换过程无卡顿、不掉字。</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走廊</w:t>
            </w: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95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IP网络功放终端（350W）</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1.采用标准19英寸机架设 计，带有≥3.4英寸LCD显示屏。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2.内置1路网络硬件音频解码模块，支持播放背景音乐功能，支持单独调节音量。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3.支持1路线路输入和1路话筒输入接口，支持单独播放或分区/全区播放。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4.支持高低音调节电位器控制，频率响应范围80Hz～16KHz。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5.具有1路EMC输入接口，具有最高优先级；具有1路音频输出接口。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6.具有1路三线制强切输出接口，无需强切电源。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7.集成数字功放，功率≥350W；支持定压方式输出。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8.具有1路RJ45网络接口，信噪比＞65dB。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9.设备内置有主备切换检测模块，在断网或断电的故障情况下，实现自动切换到100V定压备份通道，主备切换过程无卡顿、不掉字。</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篮球馆、羽毛球馆、游泳馆</w:t>
            </w: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96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无线手持话筒（一拖二）</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1.频率指标：640-690MHz,740-790MHz，调制方式：宽带FM，频道数目：≥200个频道。</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2.配套有1台接收主机和2个无线手持话筒。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3.采用UHF超高频段双真分集接收，并采用PLL锁相环多信道频率合成技术。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4.接收机指标：采用自动选讯接收方式，灵敏度: ≥12dB μV（80dBS/N)，频率响应:40Hz-18KHz（±3dB）。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5.发射机指标：音头采用动圈式麦克风；手持麦克风内置螺旋天线。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6.输出功率:≤30mW。</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话筒天线</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1.宽频定向天线680-960MHz；适用于GSM,CDMA,WCDMA,WLAN,LTE网络。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2.水平面波源宽度：60°、垂直面波源宽度： 50°。</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97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B</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宿舍楼</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吸顶扬声器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1.额定功率：(100V)≥6W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2.额定功率：(70V)≥3W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3.灵敏度)≥92dB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4.频率响应(-10dB)：110-18KHz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5.喇叭单元：≥5"×1</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26</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走廊</w:t>
            </w: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98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IP网络功放终端（240W）</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1.采用标准19英寸机架设 计，带有≥3.4英寸LCD显示屏。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2.内置1路网络硬件音频解码模块，支持播放背景音乐功能，支持单独调节音量。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3.支持1路线路输入和1路话筒输入接口，支持单独播放或分区/全区播放。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4.支持高低音调节电位器控制，频率响应范围80Hz～16KHz。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5.具有1路EMC输入接口，具有最高优先级；具有1路音频输出接口。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6.具有1路三线制强切输出接口，无需强切电源。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7.集成数字功放，功率≥240W；支持定压方式输出。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8.具有1路RJ45网络接口，信噪比＞65dB。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9.设备内置有主备切换检测模块，在断网或断电的故障情况下，实现自动切换到100V定压备份通道，主备切换过程无卡顿、不掉字。</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走廊</w:t>
            </w: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99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C</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教学综合楼</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吸顶扬声器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1.额定功率：(100V)≥6W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2.额定功率：(70V)≥3W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3.灵敏度)≥92dB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4.频率响应(-10dB)：110-18KHz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5.喇叭单元：≥5"×1</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28</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走廊</w:t>
            </w: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IP网络功放终端（350W）</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1.采用标准19英寸机架设 计，带有≥3.4英寸LCD显示屏。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2.内置1路网络硬件音频解码模块，支持播放背景音乐功能，支持单独调节音量。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3.支持1路线路输入和1路话筒输入接口，支持单独播放或分区/全区播放。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4.支持高低音调节电位器控制，频率响应范围80Hz～16KHz。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5.具有1路EMC输入接口，具有最高优先级；具有1路音频输出接口。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6.具有1路三线制强切输出接口，无需强切电源。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7.集成数字功放，功率≥350W；支持定压方式输出。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8.具有1路RJ45网络接口，信噪比＞65dB。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9.设备内置有主备切换检测模块，在断网或断电的故障情况下，实现自动切换到100V定压备份通道，主备切换过程无卡顿、不掉字。</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走廊</w:t>
            </w: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101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D</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地下室</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吸顶扬声器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1．额定功率（100V）：≥10W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2．额定功率（70V）：≥5W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3．灵敏度：91dB±3dB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4．频率响应：130-18KHz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5．喇叭单元：≥6.5"×1</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走廊</w:t>
            </w: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102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IP网络功放终端（120W）</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1.采用标准19英寸机架设 计，带有≥3.4英寸LCD显示屏。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2.内置1路网络硬件音频解码模块，支持播放背景音乐功能，支持单独调节音量。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3.支持1路线路输入和1路话筒输入接口，支持单独播放或分区/全区播放。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4.支持高低音调节电位器控制，频率响应范围80Hz～16KHz。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5.具有1路EMC输入接口，具有最高优先级；具有1路音频输出接口。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6.具有1路三线制强切输出接口，无需强切电源。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7.集成数字功放，功率≥120W；支持定压方式输出。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8.具有1路RJ45网络接口，信噪比＞65dB。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9.设备内置有主备切换检测模块，在断网或断电的故障情况下，实现自动切换到100V定压备份通道，主备切换过程无卡顿、不掉字。</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走廊</w:t>
            </w: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103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E</w:t>
            </w:r>
          </w:p>
        </w:tc>
        <w:tc>
          <w:tcPr>
            <w:tcW w:w="2986"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室外训练场及主席台</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室外音柱</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1．额定功率(100V)：≥120W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2．额定功率(70V)：≥60W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3．灵敏度≥94dB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4．频率响应：100-20KHz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5．喇叭单元：≥4"×4,≥3"×1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6.防护等级：≥IP66</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104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无线鹅颈话筒（一拖四）</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1.采用PLL频率合成锁相环技术，微电脑集成中央处理器CPU总线控制系统。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2.兼容手动选频和红外自动对频锁定频道， 杂讯锁定静噪控制及音码锁定静噪控制。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3.V/A显示屏在任何角度观察字体清晰同时显示信道号与工作频率。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4.带≥8级射频电平显示，≥8级音频电平显示，频道菜单显示，静音显示。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5.使用640-830MHZ频段，每台接收机拥有≥200个可调频率。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6.支持平衡和非平衡两种选择输出端口。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7.包括有一台主机+四台桌面式无线麦克风</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105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无线手持话筒（一拖二）</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1.频率指标：640-690MHz,740-790MHz，调制方式：宽带FM，频道数目：≥200个频道。</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2.配套有1台接收主机和2个无线手持话筒。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3.采用UHF超高频段双真分集接收，并采用PLL锁相环多信道频率合成技术。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4.接收机指标：采用自动选讯接收方式，灵敏度: ≥12dB μV（80dBS/N)，频率响应:40Hz-18KHz（±3dB）。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5.发射机指标：音头采用动圈式麦克风；手持麦克风内置螺旋天线。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6.输出功率:≤30mW。</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IP终端</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1.采用19英寸机架，带有≥3.4英寸LCD显示屏。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2.支持≥1路线路输入和≥1路话筒输入接口，可独立调节音量；支持高低音调节电位器控制。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3.具有≥1路EMC输入接口，具有最高优先级；具有≥1路音频输出接口。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4.具有≥2路三线制强切输出接口，无需强切电源。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5.支持≥2路电源输出插座，内置智能电源管理，无音乐或呼叫时，自动切断输出座电源，有信号时自动打开输出座电源。</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106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纯后级功放</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1.采用D类数字功放技术，功率放大电路设 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2.额定输出功率：≥1500W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3.具有管道式散热结构，内置自动温度控制风扇冷却系统。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4.具有≥1通道LINE不平衡TRS/XLR高品质多功能输入接口，≥1通道LINE平衡XLR级联输出。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5.内置PFC电路和软开关电源技术，开关机自动软启动控制。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6.功放电路，零交越失真。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7.内置智能削顶失真和过流压限系统，能保护扬声器单元。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8.具有过温、过压、欠压、过流、短路多重智能检测保护系统。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9.具有≥2种定阻和定压输出模式:4-16Ω/100V。</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107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调音台</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1.支持≥8路麦克风输入兼容6路线路输入接口，支持≥2路立体声输入接口，≥4路RCA输入，话筒接口幻象电源：+48V。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2.具有≥2组立体主输出、≥4路编组输出、≥4路辅助输出、≥1组立体声监听输出、≥1个耳机监听输出、≥2个效果输出、≥1组主混音断点插入、≥6个断点插入。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3.内置≥24位DSP效果器，提供≥100种预设效果。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4.具备≥13个60mm行程的高精密碳膜推子。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5.内置USB声卡模块，支持连接电脑进行音乐播放和声音录音；内置MP3播放器，支持1个USB接口接U盘播放音乐。</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108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数字音频处理器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1.数字音频处理器支持≥8路平衡式话筒/线路输入通道，采用裸线接口端子，平衡接法；支持≥8路平衡式线路输出，采用裸线接口端子，平衡接法。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2、输入通道支持前级放大、信号发生器、扩展器、压缩器、≥5段参量均衡、AM自动混音功能、AFC自适应反馈消除、AEC回声消除、ANC噪声消除。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3.输出通道支持≥31段图示均衡器、延时器、分频器、高低通滤波器、限幅器。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4.支持24bit/48KHz的声音，支持输入通道48V幻象供电。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5.配置双向RS-232接口，可用于控制外部设备；配置RS-485接口，可实现自动摄像跟踪功能。配置≥8通道可编程GPIO控制接口（可自定义输入输出）。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6.支持断电自动保护记忆功能，联控功能。</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话筒采集器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1.采用机柜式；采用UHF双真分集接收，并采用DPLL数字锁相环多信道频率合成技术。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2.提供共≥600个信道选择，真正分集式接收。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3.带≥8级射频电平显示，8≥级音频电平显示，频道菜单显示，静音显示；主机具有LCD液晶显示屏，支持显示信道号/工作频率。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4.主机具有平衡和非平衡两种选择输出端口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5.无线话筒频率范围：640-690MHz、740-790MHz、807-830MHz；无线话筒使用距离可达≥200米，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6.系统平台可预设配置≥20组任务，可实现任意时间、任意数量终端、任意音量的任意音乐播放或实时呼叫；广播后台可预设配置终端或分区广播喊话</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7.支持无线遥控功能，支持距离可达≥800米遥控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8.主手持话筒自带功能按键和LED显示屏，可对实现任务确认执行、暂停/恢复、停止、上一曲、下一曲、音量加、音量减操作。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9.内置音频采集编码模块，音频采集延时小于≤200ms</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109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话筒天线</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1.宽频定向天线680-960MHz；适用于GSM,CDMA,WCDMA,WLAN,LTE网络。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2.水平面波源宽度：60°、垂直面波源宽度： 50°。</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110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天线分配器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1.可支持为≥4台一拖二真分集话筒自动选讯接收机的多频道系统共用一对天线和一个电源。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2.频带范围：470-960MHz，输出/入增益+1.0dB(频段中心)，输出/入阻抗：≤50Ω，频宽：≥320MHz。</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111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IP音频采集器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1.采集设备支持将模拟音频采集编码成数字音频，具有1路RJ45网络接口，支持定时采播任务、临时采播任务功能。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2.具有≥2组RCA音频输入接口，支持音量调节功能。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3.采播任务支持≥3种采集音质可选，支持普通、中级、高级音质选择模式。</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112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113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二</w:t>
            </w:r>
          </w:p>
        </w:tc>
        <w:tc>
          <w:tcPr>
            <w:tcW w:w="2986"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后端设备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消控中心</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云控主机</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1.音视频集控终端搭配平台软件，实现对教室终端及周边设备状态、设备信息查阅，远程定时控制、任务管理、权限管理、系统管理、教室间互联互通互控等功能。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2.CPU：主频≥3.5GHz,内存：≥2*16G服务器内存,硬盘：≥128G固态盘 + ≥6TB企业级硬盘</w:t>
            </w:r>
            <w:r>
              <w:rPr>
                <w:rStyle w:val="11"/>
                <w:rFonts w:hint="eastAsia" w:ascii="宋体" w:hAnsi="宋体" w:eastAsia="宋体" w:cs="宋体"/>
                <w:b/>
                <w:bCs/>
                <w:color w:val="auto"/>
                <w:sz w:val="24"/>
                <w:szCs w:val="24"/>
              </w:rPr>
              <w:t>(需提供权威检测机构出具的检测报告复印件或提供官网链接和截图进行佐证)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3.网卡：≥2个Intel千兆网口；≥1个远程端口,视频输出：≥1个VGA接口,≥6个USB口（后置≥4个USB口，前置≥2个USB口），≥2×COMRS232，≥1×TRIGGERINPUT</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4.显示屏：≥17.3英寸宽屏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5.触摸屏：≥十点电容触摸屏</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云控平台软件</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1.通过云控平台软件对终端及周边设备控制，从而实现音频广播、平台资源、耗电统计以及环境监测等功能。整个管理平台采用B/S架构设 计，以web端操作为主要管理方式。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2.支持对接高精准基于卫星的定时系统，可脱离因特网独立进行广播系统授时，使得系统时间误差每年小于1/300000秒。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3.支持音频广播功能，可选择音乐库文件或本地上传语音文件的方式进行广播，支持列表播放、循环播放、随机播放等多种播放模式。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4.支持文本广播功能，输入文本或上传文本文件可实现将文本转成语音，系统自动识别中英文并进行朗读播报；支持设置循环次数；支持调节语速播报。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5.支持终端防拆报警，终端拆卸触发警报或其他终端联动触发警报；支持报警任务自动解除报警功能。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6.支持全区、分区消防联动，支持消防N±N模式，支持人工报警与数字报警。支持配置报警器触发终端采集任务。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7.支持多种教室控制面板设置策略，采用刷卡和控制面板按键组合的方式对终端进行控制，避免无关人员操作。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8.支持查看终端内置设备信息及运行状态，含IP地址、开关机状态、CPU温度、累计开机时长、MAC地址、升级日志等，并支持控制内置设备开关机。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9.支持耗电统计功能，可按日、周、月统计设备用电明细、设备用电量、设备动态、设备总用电趋势、设备实时状态、设备使用时长等信息并支持以excel表格形式导出明细。</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114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数字化IP网络广播客户端管理软件</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1.统一管理系统内所有音频终端，包括寻呼话筒、对讲终端、广播终端和消防接口设备，实时显示音频终端的IP地址、在线状态、任务状态、音量等运行状态。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3.支持对≥8路功率分区终端进行功率控制分区设置，通过web页面后台或分控客户端均可设置分区。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4.管理节目库资源，为所有音频终端器提供定时播放和实时点播媒体服务，响应各终端的节目播放请求，为各音频工作站提供数据接口服务。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5.支持对终端设置不同的灯光模式，可分别自定义设置红灯亮、红灯灭、绿灯/蓝灯亮、绿灯/蓝灯灭时间0.1S-10S。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6.支持终端短路输入联动触发，可任意设置联动触发方案和触发终端数量，触发方案包括短路输出、音乐播放、巡更警报等。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7.编程定时任务，支持编程多套定时方案，支持选择任意终端和设置任意时间；支持定时任务执行测试、设置重复周期。支持定时任务多种音源选择（音乐播放、声卡采集、终端采集）。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8.支持定时打铃功能，支持打铃方案克隆，任务执行与停止控制、定时任务禁用与启用功能。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9.支持今日任务列表查看，轻松管理今日执行的所有定时任务信息和执行状态。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10.日志记录系统运行状态，实时记录系统运行及终端工作状态，每次呼叫、通话和广播操作均有记录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11.支持对终端设置时间显示配置，可设置0-6级别亮度值，可设置离线后不显示时间等模式。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12.支持配置终端冻结时间，在终端被冻结期间禁止终端执行任务，适用于考试或休息等场景。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13.支持终端明细导出功能，支持通过表格方式导出当前系统终端的配置详情。支持批量修改定时任务的时间、执行终端。</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115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NTP服务器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1.采用机柜式，自动实现卫星自动校时，使用地球同步卫星作为校时基准，与格林威治时间误差≤0.1秒。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2.液晶显示屏可显示时间；自动实现卫星自动校时，自适应全球时区，根据时区自动切换显示语音。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3.支持与公共广播系统对接作为校时系统。</w:t>
            </w:r>
            <w:r>
              <w:rPr>
                <w:rStyle w:val="11"/>
                <w:rFonts w:hint="eastAsia" w:ascii="宋体" w:hAnsi="宋体" w:eastAsia="宋体" w:cs="宋体"/>
                <w:b/>
                <w:bCs/>
                <w:color w:val="auto"/>
                <w:sz w:val="24"/>
                <w:szCs w:val="24"/>
              </w:rPr>
              <w:t>(需提供权威检测机构出具的检测报告复印件进行佐证)</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话筒</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1.换能方式：驻极体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2.钟声提示：带钟声提示功能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3.线材配备：≥10米（卡农母头转6.35音频线）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4.咪杆长度 ：≥420mm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5.具备有灯环提示功能</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116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5"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合并式播放器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1.设备采用机柜式设 计，为广播系统提供合并音源，支持手动控制CD、MP3和收音机三种音源的播放器。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2.内置USB接口/SD卡槽、CD机芯和收音机、蓝牙四种音源，CD播放和MP3播放共用一个通道输出，收音机、蓝牙共用一个通道输出。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3.CD采用吸入式机芯；收音机采用收音模块； 调频、调幅（AM/FM）立体声二波段接收可选，电台频率记忆存储可达≥99个。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4.具备有≥1路USB接口、≥1路SD卡槽口、≥1路收音FM天线口、≥2路音频输出接口。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5.带红外遥控功能，并能够独立遥控音量控制。</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117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前置放大器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1具有≥5路话筒（MIC）输入，≥3路标准信号线路（AUX）输入，≥2路紧急线路（EMC）输入；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2.MIC 5具有最高优先、强行切入优先功能；MIC 5和EMC最高优先权限功能可通过拔动开关交替选择；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3.紧急输入线路具有二级优先，强行切入优先功能；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4.MIC1.2.3.4.5 和2路紧急输入（EMC）通道均附设有线路辅助输入接口功能；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5.具有默音深度调节旋钮和EMC输入增益调节旋钮。</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118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IP音频采集器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1.采集设备支持将模拟音频采集编码成数字音频，具有1路RJ45网络接口，支持定时采播任务、临时采播任务功能。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2.具有≥2组RCA音频输入接口，支持音量调节功能。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3.采播任务支持≥3种采集音质可选，支持普通、中级、高级音质选择模式。</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119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寻呼话筒</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1.采用话筒桌面式，带有≥7英寸显示屏，带触摸控制功能；显示屏自带数字键、功能键，支持通过触摸呼叫广播，支持呼叫分区及多个分区，呼叫全区广播；可支持≥10个按键自定义一键呼叫广播功能。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2.内置≥1路网络硬件音频解码模块，具有1路RJ45网络接口，≥100Mbps传输速率。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3.支持监听任意终端功能，内置2W全频扬声器，实现双向通话和网络监听。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4.支持≥1路音频线路输入，支持采集播放功能；具有1路音频线路输出，可外接功率放大器。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5.支持直接操作呼叫或对讲任意终端，支持通过话筒广播呼叫功能，广播延时≤100毫秒。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6.支持多种呼叫策略，包括无响应转移、占线转移、关机转移；自动接听、手动接听，支持自定义接听提示音，支持转移时间、无人接听时间、呼叫等待时间自定义。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7.具有≥1个3.5耳机接口、≥1路3.5话筒输入接口。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8.具有≥1路短路输出接口、≥1路短路输入接口。</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120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云控终端</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1.设备内置音频切换模块、视频切换模块、红外学习及发射模块、设备电源管理模块、功放模块、网络广播模块、控制接口模块。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集成音视频切换模块，具有≥2路音频输入接口（含线性输入、MIC输入）、≥1路音频输出接口、≥2路功放输出接口，具有≥4路HDMI高清输入接口、≥2路HDMI高清输出接口；支持≥4进2出音视频矩阵，支持音视频同步输入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3.集成至少2路45W以上的高效智能数字功放模块，具备≥2路功放输出接口，可直接接定阻音箱。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4.集成红外学习及发射模块，具有≥1路红外学习端口，≥2路独立可编程红外IR发送接口，可远程控制多台红外遥控设备等。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5.集成设备电源管理模块，具有≥1路可编程电源控制接口，支持延时断电功能。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6.集成网络广播模块，内置网络IP解码模块，可作为数字广播解码终端使用，配合网络广播系统可实现定时广播、网络音频播放、远程节目点播、定时任务播放等功能。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7.具有≥2路弱继电器控制接口，可触发控制电源时序器、电控锁等设备。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8.具有≥1路RS-232双向通讯接口，独立可编程，可控投影机或第三方通讯设备。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9.具有≥2路RS-485控制接口，独立可编程，可控投影机或第三方通讯设备；其中≥1路为连接扩展面板。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10.具有≥2路I/O接口，可实现远程电脑开关控制、可接入感知器/断线报警等开关量传感设备，可实现门磁状态反馈等功能。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11.具有≥1路韦根协议接口。</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121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室内壁挂音柱</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1．额定功率（100V）：≥40W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2．额定功率（70V）：≥20W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3．灵敏度：94dB±3dB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4．频率响应：130-18KHz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5．喇叭单元：≥4"x4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6.防护等级：≥IP66</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122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节目定时器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1.机柜式设 计，设有≥十路可编辑定时控制电源，最大用电量≤2500W。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2.大屏幕液晶显示屏，图形化界面。可显示≥10路电源状态指示、日期、星期、时间、下一步程序的信息等。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3.具备≥1路钟声输出接口，≥1路报警短路信号输入接口。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4.具备≥1路触发控制短路信号输出接口，可触发报警器等设备。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5.设有短路触发输出接口，可控制≥十六位电源时序器开关，扩展定时电源插座。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6.支持将一星期内某一天的程序拷贝到其它的某一天或某几天。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7.断电程序不丢失，来电自动恢复运行。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8.可进行多步编程定时控制电源。</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123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B</w:t>
            </w:r>
          </w:p>
        </w:tc>
        <w:tc>
          <w:tcPr>
            <w:tcW w:w="2986"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消防联动设备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采集器</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1.机柜式设 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2.设备采用嵌入式计算机技术和DSP音频处理技术设 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3.支持≥16路消防短路信号输入接口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4.面板支持一键取消任务。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5.支持后台设置报警策略，可为每路短路信号输入端口配置报警策略，关联联动的终端及播放曲目等功能。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6.标配网络接口，全速率连接最高可达≥100M。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7.短路接口：标准压线接线端子。</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124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C</w:t>
            </w:r>
          </w:p>
        </w:tc>
        <w:tc>
          <w:tcPr>
            <w:tcW w:w="2986"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分控中心</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控制主机（分控管理）</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DDR4，≥512G SSD，≥2G显存 独立显卡，显示器≥23英寸，鼠标*1、键盘*1。</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125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IP网络广播系统分控软件</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1.数字客户端分控软件运行于操作系统的台式电脑或笔记本电脑（兼容，用户登陆通过系统服务器的权限验证即可进行对广播系统的控制。。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2.客户端软件利用网络（局域网、广域网）远程登录到服务器，支持多套客户端软件同时登录到服务器，各套客户端软件独立工作。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3.可实现终端状态查看、音频播放、监听、广播及对讲、会话状态监控等功能。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4.支持实时查看终端工作状态、音量、任务，并且可在终端状态界面设置终端音量。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5.支持创建文本广播任务，可实现将文本转成语音，支持后台调整语速。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6.支持创建终端采集任务，可设置普通、中级的采集音质类型。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7.支持创建声卡采集任务，可通过分控客户端所在电脑的声卡进行实时采播，并且支持将采播的内容进行录音存储。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8.支持创建音乐播放任务，可进行本地文件播放，可选择多首歌曲进行顺序播放或循环播放或随机播放。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9.支持进行发起监听功能，在会话状态选择监听终端，可监听某任务播放的内容。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10.支持远程对某终端/分区或全区进行实时的寻呼广播，支持选择网络寻呼话筒进行实时对讲。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11.支持分控端查看终端上下线记录，可设置终端掉线弹窗提示。</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126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寻呼话筒</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1.采用话筒桌面式，带有≥7英寸显示屏，带触摸控制功能；显示屏自带数字键、功能键，支持通过触摸呼叫广播，支持呼叫分区及多个分区，呼叫全区广播；可支持≥10个按键自定义一键呼叫广播功能。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2.内置≥1路网络硬件音频解码模块，具有1路RJ45网络接口，≥100Mbps传输速率。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3.支持监听任意终端功能，内置2W全频扬声器，实现双向通话和网络监听。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4.支持≥1路音频线路输入，支持采集播放功能；具有1路音频线路输出，可外接功率放大器。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5.支持直接操作呼叫或对讲任意终端，支持通过话筒广播呼叫功能，广播延时≤100毫秒。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6.支持多种呼叫策略，包括无响应转移、占线转移、关机转移；自动接听、手动接听，支持自定义接听提示音，支持转移时间、无人接听时间、呼叫等待时间自定义。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7.具有≥1个3.5耳机接口、≥1路3.5话筒输入接口。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8.具有≥1路短路输出接口、≥1路短路输入接口。</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127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三</w:t>
            </w:r>
          </w:p>
        </w:tc>
        <w:tc>
          <w:tcPr>
            <w:tcW w:w="2986"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辅助材料</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室外广播线缆</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≥RVV2*2.5mm，国标。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780</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128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室内广播线缆</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≥RVV2*1.5mm，国标。</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2600</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高频同轴电缆</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符合国标，1*SYV-50-5-1</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100</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音频跳线：RCA莲花-RCA莲花(≥1.8m)</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音频跳线：6.35mm大单芯-6.35mm大单芯(≥1.8m)</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音频跳线：RCA莲花-6.35mm大单芯(≥1.8m)</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4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音频跳线：3.5mm接线头-双RCA莲花(≥1.8m)</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6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25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4" w:type="pct"/>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4"/>
          <w:szCs w:val="24"/>
          <w:shd w:val="clear" w:fill="FFFFFF"/>
        </w:rPr>
        <w:t>4、消控室清单</w:t>
      </w:r>
    </w:p>
    <w:tbl>
      <w:tblPr>
        <w:tblStyle w:val="9"/>
        <w:tblW w:w="5134"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37"/>
        <w:gridCol w:w="1470"/>
        <w:gridCol w:w="3810"/>
        <w:gridCol w:w="615"/>
        <w:gridCol w:w="1096"/>
        <w:gridCol w:w="91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05" w:hRule="atLeast"/>
        </w:trPr>
        <w:tc>
          <w:tcPr>
            <w:tcW w:w="529"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序号</w:t>
            </w:r>
          </w:p>
        </w:tc>
        <w:tc>
          <w:tcPr>
            <w:tcW w:w="83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货物名 称</w:t>
            </w:r>
          </w:p>
        </w:tc>
        <w:tc>
          <w:tcPr>
            <w:tcW w:w="2154"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参数规格</w:t>
            </w:r>
          </w:p>
        </w:tc>
        <w:tc>
          <w:tcPr>
            <w:tcW w:w="34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单位</w:t>
            </w:r>
          </w:p>
        </w:tc>
        <w:tc>
          <w:tcPr>
            <w:tcW w:w="61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数量</w:t>
            </w:r>
          </w:p>
        </w:tc>
        <w:tc>
          <w:tcPr>
            <w:tcW w:w="516"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技术评分项号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一</w:t>
            </w:r>
          </w:p>
        </w:tc>
        <w:tc>
          <w:tcPr>
            <w:tcW w:w="2986"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机房配电系统</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20KVA不间断电源UPS（后备1小时）</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1.功率：≥20KVA；</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2.输入方式：三相+零线+地线，双变换在线式，IGBT，PWM调制技术；输出效率：Up to 94%；ECO模式下≥98%；</w:t>
            </w:r>
            <w:r>
              <w:rPr>
                <w:rStyle w:val="11"/>
                <w:rFonts w:hint="eastAsia" w:ascii="宋体" w:hAnsi="宋体" w:eastAsia="宋体" w:cs="宋体"/>
                <w:b/>
                <w:bCs/>
                <w:color w:val="auto"/>
                <w:sz w:val="24"/>
                <w:szCs w:val="24"/>
              </w:rPr>
              <w:t>(需提供权威检测机构出具的检测报告复印件或提供官网链接和截图进行佐证)</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3.静态旁路，380Vac(+/-15%)；</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4.电池类型： 密封式阀控铅酸蓄电池；充电时间：小于或等于8小时达到满容量≥90%；5、通讯接口：RS - 232，Mini-Slot通讯插槽</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铅酸蓄电池</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密封式阀控铅酸蓄电池，12V-≥100AH</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节</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129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电池箱</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立柱、横梁≥1.5mm厚；封闭式电池柜，可以装≥16节12V-100AH电池.</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130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UPS配电柜</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1.额定功率：≥30KW，输出路数：≥10路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2.配电柜输入电压为交流380V±15%，工频50Hz。具有过压、浪涌、短路、过流、过载、漏电等保护功能。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3.内置避雷器，具有避雷防雷功能。</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131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二</w:t>
            </w:r>
          </w:p>
        </w:tc>
        <w:tc>
          <w:tcPr>
            <w:tcW w:w="2986"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制冷系统</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空调</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1.机房专用空调，总冷量≥12.5KW，风量≥3800m3/h，加热量≥4kw；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2.风机应能够方便的从机组正面取出进行现场维修,提高系统的可维护性。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3.机房专用空调机组应为环保机型，应采用R410A环保制冷剂，</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132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空调安装辅材</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含空调冷媒铜管、联机电源线、室外机支架等</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三</w:t>
            </w:r>
          </w:p>
        </w:tc>
        <w:tc>
          <w:tcPr>
            <w:tcW w:w="2986"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机柜系统</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配电柜</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1.额定功率：≥15KW，输出路数：≥10路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2.配电柜输入电压为交流380V±15%，工频50Hz。具有过压、浪涌、短路、过流、过载、漏电等保护功能。</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133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操作台</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采用琴台式结构金属操作台，外形尺寸≥1050mm*≥910mm*≥700mm定制与消防操作台相同样式。</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134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0"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控制主机</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135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分布式综合管理平台</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1.服务器采用机架式设 计，运行嵌入式系统，管理系统，采用B/S架构，通过浏览器即可管理整个分布式系统。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2.系统采用基于分布式架构，可对拼接系统进行管理、控制、数据交互等。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3.服务器CPU配置≥2.4GHz主频，内存配置≥32G DDR4 ，存储空间≥6TB，具备≥8个硬盘位。</w:t>
            </w:r>
            <w:r>
              <w:rPr>
                <w:rStyle w:val="11"/>
                <w:rFonts w:hint="eastAsia" w:ascii="宋体" w:hAnsi="宋体" w:eastAsia="宋体" w:cs="宋体"/>
                <w:b/>
                <w:bCs/>
                <w:color w:val="auto"/>
                <w:sz w:val="24"/>
                <w:szCs w:val="24"/>
              </w:rPr>
              <w:t>(需提供权威检测机构出具的检测报告复印件或提供官网链接和截图进行佐证)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4.支持双机服务器热备份，当主服务器宕机后，马上切换至备用服务器进行工作，完成主备切换后，备用服务器代替主服务器进行工作。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5.支持≥1路VGA视频接口输出，具备≥2个RJ45网口，前置≥2个USB、后置≥4个USB接口。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6.支持硬件监测：故障/错误/过载和报警(包括磁盘/ RAID /电力/风机/温度/ IO 性能)</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分布式综合管理平台软件</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分布式综合管理平台软件运行于嵌入式系统，对分布式综合管理平台系统设备进行管理、控制、数据交互等。为了更灵活扩展及控制，要求系统采用分布式架构，可从通过采集盒（输入盒）对信号进行物理安全隔离，即可以实现对信号源的控制或者后端被动的接收；系统具有良好的扩容升级性能，只需按需增加系统的输入节点（采集盒）/输出节点（解码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系统采用B/S和C/S管理控制架构，支持网页web访问系统后台管理，支持通过web浏览器对输入盒（采集盒）、输出盒（拼接盒）的管理及状态实时监测。可扩展支持使用ipad平板软件、安卓平板软件、Windows电脑客户端对分布式系统进行可视化管理、信号切换、画面叠加、画中画、画面拼接、画面漫游、画面放大/缩小、画面移动/关闭等操作，支持对显示控制区域实时监控；支持多用户多平台同步操作，支持不同平台操作界面实时同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3.支持远程控制升级输入盒/输出盒应用程序，支持远程批量升级功能。支持自动侦测盒子上下线状态、IP地址、盒子名 称等。支持对拼接单元的绑定和接触，IP显示等功能。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后台web界面、移动端操作界面自定义设置，支持多级管理模式；支持不同用户登陆管理，支持权限分配：实现不同用户呈现不同的控制界面、不同用户可管理操作不同的输入盒/输出盒。支持记住密码和自动登陆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5.支持对信号分类及排序功能，可快速选择信号源进行切换，在移动端或客户端软件实现对信号源可视化实时预览，让使用更直观，更简易。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自由操控，支持拖曳视频源到显示控制区域，可实现所有视频信号源的视窗管理、拼接、任意缩放、画中画、画面漫游等功能，可实现对视窗参数的调整（叠加关系、位置、大小、比例等），方便的拖放操作，极易上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7.支持高清≥1080P画面输出显示；支持画面分割、任意开窗，单屏输出支持≥16个信号；支持画面叠加，最大支持叠加16层，适用于各种数据显示环境。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8.支持自定义编辑和预存不同的场景，支持显示预案设置、存储、调用；支持音频、视频、控制信号场景一键式快速调用，可定义不同场景切换效果及场景名 称，支持自定义编辑会议模式、调用预存的会议模式。场景切换响应时间短，超低延时，画面极致流畅，窗口操作即时响应，手指离开操作平台立马会显示在大屏上。支持场景轮询，并且轮询时间可调；支持场景锁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系统场景一键恢复功能，可在断电重启后完全恢复系统中的任意控制状态到断电以前状态，包括音量大小、灯光的状态等，而无需逐一设置。支持实现输入盒（采集盒）、输出盒（拼接盒）自动备份配置，断电重启后可自动恢复配置，无需担心数据损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10.支持在平板操作端实现对PC电脑、计算机服务器等信号源进行模拟鼠标单击/双击等远程操作；支持通过操控端可以控制动态视频信号的播放和停止，可以实现对服务器播放的PPT的翻页（上一页、下一页）操作。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11.支持≥三种开窗模式，包括固化模式、自由模式、矩形模式。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中控功能，支持自定义添加受控设备，可实现可编辑中控，支持RS-232、RS-422、RS-485、IR、I/O、TCP/IP等控制方式；支持多种控件选择，可随意配置中控界面。可控制高清矩阵信号切换、电源设备开关、摄像头的转动方向放大缩小及预置位调用、音频音量、灯光/空调开关等中控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13.支持分布式中控系统交互式控制架构，实现远程管理会议室的环境设备、集中管理、场景调用，实现多个会议室音视频控制的互联互通互动。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支持KVM坐席管理功能，通过指令调出信号管理界面进行KVM坐席信号切换，一套键盘鼠标对多显示器实现操作，简洁桌面环境。KVM坐席管理可实现信息实时抓取，坐席人员可以通过一套键盘的快捷键、OSD菜单方式将任意显示器或大屏信息抓取至本地显示器，也可以将本地显示器的信息通过图形化方式（非文本）推送至任意显示器或大屏。支持KVM坐席多屏间鼠标漫游功能，支持KVM坐席单屏多画面鼠标漫游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15.在不增加外部设备的情况下，支持实现字幕在全屏任意位置任意增加、删除、修改，支持自定义设置字体、字号、颜色等，支持滚动字幕。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16.根据配置节点类型，在不增加外部设备的情况下，支持在输入源上增加文字或者图片作为输入源的标识，标识的字体、字体大小、颜色、背景颜色可自定义设置，标识整体的大小可根据实际情况调整。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17.支持自定义显示屏镜像功能，可实现副屏画面跟随主屏画面功能，适用于监视、主副屏同步等应用场景。</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136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电子班牌云主机</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1.电子班牌管理服务器使用的高性能服务器系统，配置系统软件，实现网络化多媒体的展示和信息发布，学校通知公告、课表安排、考勤签到等功能。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2.服务器的CPU主频≥3.4GHz。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3.服务器内存配置≥16G DDR4。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4.硬盘容量≥2TB。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5.具有≥2个千兆网口，带端口聚合功能</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137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19英寸标准机柜（42U）</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42U机柜，采用冷轧钢板，H2000mm*W600mm*D600mm、立柱≥2.0mm 框架≥1.5mm 门板≥1.2mm（含PDU电源插排≥1，固定板部件≥3,风扇≥2,重型脚轮≥4，M12支脚≥4，M6方螺母螺钉≥40）。</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138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四</w:t>
            </w:r>
          </w:p>
        </w:tc>
        <w:tc>
          <w:tcPr>
            <w:tcW w:w="2986"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消控中心装修</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全钢抗静电地板</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600mm*600mm*35mm，陶瓷贴面，厚度≥1.2mm；FS1000型，集中荷载≥453kg；基层板防火等级：A级；表面电阻值：1*106~1*109Ω.</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平方</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42.34</w:t>
            </w:r>
          </w:p>
        </w:tc>
        <w:tc>
          <w:tcPr>
            <w:tcW w:w="516"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139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地面防尘漆</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水性环氧地坪漆</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平方</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42.34</w:t>
            </w:r>
          </w:p>
        </w:tc>
        <w:tc>
          <w:tcPr>
            <w:tcW w:w="51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机房四周不锈钢收边</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≥0.8mm厚不锈钢板，≥80mm高.</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26.2</w:t>
            </w:r>
          </w:p>
        </w:tc>
        <w:tc>
          <w:tcPr>
            <w:tcW w:w="516"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消防控制室桥架</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镀锌金属线槽 ≥200mm(宽)x100mm(高)x1.2mm(厚)</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38</w:t>
            </w:r>
          </w:p>
        </w:tc>
        <w:tc>
          <w:tcPr>
            <w:tcW w:w="516"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接地线多股铜芯线BVR16mm2</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BVR≥16mm2黄绿线</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150</w:t>
            </w:r>
          </w:p>
        </w:tc>
        <w:tc>
          <w:tcPr>
            <w:tcW w:w="516"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B级电源防雷器</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V25-B/3+NPE</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等电位连接器</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≥481型</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接地母排</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≥4mm*60mm*300mm紫铜排</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防雷均压带20*3mm</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≥20mm*3mm紫铜条</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62</w:t>
            </w:r>
          </w:p>
        </w:tc>
        <w:tc>
          <w:tcPr>
            <w:tcW w:w="516"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不锈钢立柱边框</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≥0.8mm厚不锈钢板，≥2500mm高.含相关配套材料，定制</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平方</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17.25</w:t>
            </w:r>
          </w:p>
        </w:tc>
        <w:tc>
          <w:tcPr>
            <w:tcW w:w="516"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防火玻璃</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铯钾防火玻璃≥12mm厚，≥2500mm高含相关配套材料，定制</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平方</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17.25</w:t>
            </w:r>
          </w:p>
        </w:tc>
        <w:tc>
          <w:tcPr>
            <w:tcW w:w="516"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15" w:hRule="atLeast"/>
        </w:trPr>
        <w:tc>
          <w:tcPr>
            <w:tcW w:w="52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3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防火玻璃门</w:t>
            </w:r>
          </w:p>
        </w:tc>
        <w:tc>
          <w:tcPr>
            <w:tcW w:w="215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铯钾防火玻璃≥12mm厚，单扇，锁含相关配套材料，定制</w:t>
            </w:r>
          </w:p>
        </w:tc>
        <w:tc>
          <w:tcPr>
            <w:tcW w:w="34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6"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4"/>
          <w:szCs w:val="24"/>
          <w:shd w:val="clear" w:fill="FFFFFF"/>
        </w:rPr>
        <w:t>5、500人大礼堂清单</w:t>
      </w:r>
    </w:p>
    <w:tbl>
      <w:tblPr>
        <w:tblStyle w:val="9"/>
        <w:tblW w:w="5126"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40"/>
        <w:gridCol w:w="1536"/>
        <w:gridCol w:w="3856"/>
        <w:gridCol w:w="601"/>
        <w:gridCol w:w="1074"/>
        <w:gridCol w:w="9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6"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序号</w:t>
            </w:r>
          </w:p>
        </w:tc>
        <w:tc>
          <w:tcPr>
            <w:tcW w:w="870"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货物名 称</w:t>
            </w:r>
          </w:p>
        </w:tc>
        <w:tc>
          <w:tcPr>
            <w:tcW w:w="2183"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参数规格</w:t>
            </w:r>
          </w:p>
        </w:tc>
        <w:tc>
          <w:tcPr>
            <w:tcW w:w="340"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单位</w:t>
            </w:r>
          </w:p>
        </w:tc>
        <w:tc>
          <w:tcPr>
            <w:tcW w:w="608"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数量</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技术评分项号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一</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显示系统</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LED大屏系统（主屏）8.32m*3.52m=29.2864m2</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shd w:val="clear" w:fill="FFFF00"/>
              </w:rPr>
              <w:t>室内LED全彩显示屏P2.0（核心产品）</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1.LED显示屏灯珠选用表贴三合一铜线封装，LED封装形式：SMD1515黑灯。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2.LED显示屏单个像素由1R1G1B构成，LED显示屏单个模组尺寸256mm*128mm，模组重量≤0.255kg，模组平整度≤0.2mm；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3.LED显示屏采用≤2.0mm点间距，像素点密度≥250000点/m2；LED显示屏像素中心距相对偏差≤1%；</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4.LED显示屏采用磁吸前维护，可正面拆卸模组、接收卡、电源，支持模组、接收卡等低压器件多次带电热插拔测试后都能正常工作；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5.LED显示屏PCB板表面具备防潮/防尘/防静电/抗氧化等能力，支持共阳方案和共阴方案的兼容性设 计，可匹配相应LED、IC做共阳、共阴产品，多层电路板沉金工艺设 计，同时具有独特的消隐、节能处理、EMC处理、智能模组存储处理功能电路；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6.具有过流、短路、过压、欠压的保护功能；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7.LED显示屏电源输入端使用电压比较器检测输入电压大小，输出端运用工业级高精度运放电路检测输出负载，能够精准检测输出电流和负载功率大小，有效保护电源使用稳定，不会出现黑屏，闪屏现象；</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8.LED显示屏为提高显示屏色彩还原度，采用低亮高灰技术，亮度在60%时灰度≥12bit，亮度80%时灰度≥14bit，亮度100%时灰度≥16bit；</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9.LED显示屏色温1000K-10000K连续可调，可设冷色、暖色、标准等多档白场调节；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10.LED显示屏峰值功耗：≤650W/m2，平均功耗：≤217W/m2；</w:t>
            </w:r>
            <w:r>
              <w:rPr>
                <w:rStyle w:val="11"/>
                <w:rFonts w:hint="eastAsia" w:ascii="宋体" w:hAnsi="宋体" w:eastAsia="宋体" w:cs="宋体"/>
                <w:b/>
                <w:bCs/>
                <w:color w:val="auto"/>
                <w:sz w:val="24"/>
                <w:szCs w:val="24"/>
              </w:rPr>
              <w:t>(需提供权威检测机构出具的检测报告复印件进行佐证)</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29.2864</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发送盒</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1.≥一路DVI视频输入。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2.≥一路HDMI高清视频输入。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3.≥一路音频输入。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4.≥六路网口输出。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5.USB接口控制，可级联多台进行统一控制。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6.带载能力达≥230万像素。</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B</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左辅屏屏体部分：3.584m*2.048m=7.3400m2</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shd w:val="clear" w:fill="FFFF00"/>
              </w:rPr>
              <w:t>室内LED全彩显示屏P2.0（核心产品）</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1.LED显示屏灯珠选用表贴三合一铜线封装，LED封装形式：SMD1515黑灯。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2.LED显示屏单个像素由1R1G1B构成，LED显示屏单个模组尺寸256mm*128mm，模组重量≤0.255kg，模组平整度≤0.2mm；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3.LED显示屏采用≤2.0mm点间距，像素点密度≥250000点/m2；LED显示屏像素中心距相对偏差≤1%；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4.LED显示屏采用磁吸前维护，可正面拆卸模组、接收卡、电源，支持模组、接收卡等低压器件多次带电热插拔测试后都能正常工作；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5.LED显示屏PCB板表面具备防潮/防尘/防静电/抗氧化等能力，支持共阳方案和共阴方案的兼容性设 计，可匹配相应LED、IC做共阳、共阴产品，多层电路板沉金工艺设 计，同时具有独特的消隐、节能处理、EMC处理、智能模组存储处理功能电路；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6.具有过流、短路、过压、欠压的保护功能；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7.LED显示屏电源输入端使用电压比较器检测输入电压大小，输出端运用工业级高精度运放电路检测输出负载，能够精准检测输出电流和负载功率大小，有效保护电源使用稳定，不会出现黑屏，闪屏现象；</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8.LED显示屏为提高显示屏色彩还原度，采用低亮高灰技术，亮度在60%时灰度≥12bit，亮度80%时灰度≥14bit，亮度100%时灰度≥16bit；</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9.LED显示屏色温1000K-10000K连续可调，可设冷色、暖色、标准等多档白场调节；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10.LED显示屏峰值功耗：≤650W/m2，平均功耗：≤217W/m2；</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7.3400</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发送盒</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1.≥一路DVI视频输入。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2.≥一路HDMI高清视频输入。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3.≥一路音频输入。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4.≥六路网口输出。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5.USB接口控制，可级联多台进行统一控制。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6.带载能力达≥230万像素。</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C</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右辅屏屏体部分：3.584m*2.048m=7.3400m2</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shd w:val="clear" w:fill="FFFF00"/>
              </w:rPr>
              <w:t>室内LED全彩显示屏P2.0（核心产品）</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1.LED显示屏灯珠选用表贴三合一铜线封装，LED封装形式：SMD1515黑灯。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2.LED显示屏单个像素由1R1G1B构成，LED显示屏单个模组尺寸256mm*128mm，模组重量≤0.255kg，模组平整度≤0.2mm；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3.LED显示屏采用≤2.0mm点间距，像素点密度≥250000点/m2；LED显示屏像素中心距相对偏差≤1%；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4.LED显示屏采用磁吸前维护，可正面拆卸模组、接收卡、电源，支持模组、接收卡等低压器件多次带电热插拔测试后都能正常工作；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5.LED显示屏PCB板表面具备防潮/防尘/防静电/抗氧化等能力，支持共阳方案和共阴方案的兼容性设 计，可匹配相应LED、IC做共阳、共阴产品，多层电路板沉金工艺设 计，同时具有独特的消隐、节能处理、EMC处理、智能模组存储处理功能电路；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6.具有过流、短路、过压、欠压的保护功能；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7.LED显示屏电源输入端使用电压比较器检测输入电压大小，输出端运用工业级高精度运放电路检测输出负载，能够精准检测输出电流和负载功率大小，有效保护电源使用稳定，不会出现黑屏，闪屏现象；</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8.LED显示屏为提高显示屏色彩还原度，采用低亮高灰技术，亮度在60%时灰度≥12bit，亮度80%时灰度≥14bit，亮度100%时灰度≥16bit；</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9.LED显示屏色温1000K-10000K连续可调，可设冷色、暖色、标准等多档白场调节；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10.LED显示屏峰值功耗：≤650W/m2，平均功耗：≤217W/m2；</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7.3400</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发送盒</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1.≥一路DVI视频输入。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2.≥一路HDMI高清视频输入。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3.≥一路音频输入。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4.≥六路网口输出。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5.USB接口控制，可级联多台进行统一控制。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6.带载能力达≥230万像素。</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D</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控制设备以及配套设备</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视频控制主机</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1.机箱采用8U主机箱体+平行地面横向插卡卡槽设 计，输入槽位≥9，输出槽位≥8，支持冗余扩展模式，便于系统的安全扩展升级结构，机箱两侧具备风扇，输入模块、输出模块、切换模块、控制模块、电源模块、风扇模块均支持热插拔。</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2.采用纯硬件FPGA阵列、底板运算交换技术设 计，启动时间＜5S，上电即可工作，系统安全稳定可靠、无病毒感染风险，支持全年365天、7*24小时不间断运行。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3.前面板具备显示屏搭配按键面板结构方式，可进行输入输出通道信号切换操作。支持多种控制方式，支持红外遥控、中控（RS-232）、键盘、面板按键等多种控制功能。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4.支持输出分辨率自定义，针对LED模块分辨率不规则的特点可任意设置分辨率输出，与LED屏分辨率完美匹配；支持设置分辨率为1920×1200、1920×1080、1600×900、1400×1050、1366×768.1024×768。支持图像帧率60帧/秒。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5.DVI接口外接显示设备时，可支持拼接显示19200×3240、15360×3240、10928×3072.10928×2304在内的超高分点对点显示画面。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6.采用输出帧同步处理功能，内部统一时钟，确保输出的每路信号均同步输出。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7.支持任意开窗，任意输出接口支持≥4路窗口显示画面，单张板卡支持≥16个信号窗口。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8.支持所有显示窗口均可在屏幕上进行任意移动、缩放、多画面、切换、叠加、画中画等功能。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9.支持字符叠加显示功能，对入口信号进行字幕标注，可对叠加字符的字体、字号、颜色、位置等进行自定义编辑。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10.支持硬件回显功能，可对输入的信号进行可视化识别，通过显示器即可查看系统的当前显示状态。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11.支持软件回显功能，通过软件界面即可对当前屏幕上显示的画面进行查看，并可对接入的任意一路信号进行预监查看及全屏回显，回显刷新频率为≥30Hz，回显图像清晰流畅。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多用户控制管理功能，可通过软件划设操作权限，依据权限级别制定不同的操作功能，级别不同，所具有的操作权限也不同。支持多级用户权限管理，可划分管理员、操作员、用户的权限模式，制定分区管理，分级、分权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13.采用C/S管理控制结构，基于TCP/IP网络以及串口的多用户实时操作，可实现对多种信号源定义、调度和管理。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14.支持自定义编辑和预存不同的场景，支持多达≥128个场景模式，可实现场景一键式快速调用，可定义不同场景切换效果及场景名 称，支持自定义编辑会议模式、调用预存的会议模式。支持场景轮询，轮询时间可调。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15.电源：标配×1，支持冗余电源1+1；平均无故障时间：＞50000小时。</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回显输出卡</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1.软件回显输出卡兼控制卡，可对输入的信号进行可视化识别，通过显示器即可查看系统的当前显示状态。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2.具有流畅清晰的预监回显界面，软件运行图像回显刷新速度＞30Hz。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3.回显输出接口：RJ45*≥1,控制接口：RJ45*≥1.RS232*≥2</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图像输入板卡</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1.LED图像处理器的高清图像输入板卡，支持≥4路HDMI高清数字信号输入。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2.接口类型：HDMI Type A，接口数量：≥4个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3.信号类型：HDMI高清数字信号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4.HDCP：支持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5.EDID编辑：支持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6.信号分辨率：≥1920*1080@60Hz</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图像输出板卡</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1.LED图像处理器的高清图像输出板卡，支持≥4路HDMI高清数字信号输出，支持HDCP及EDID编辑。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2.信号分辨率：≥1920*1080@60Hz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3.每个输出接口开窗数：≥4画面</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DVI输出板卡</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1.LED图像处理器的高清图像输出板卡，支持≥4路DVI高清数字信号输出，支持EDID编辑。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2.HDCP：支持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3.信号分辨率：≥1920*1200@60Hz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4.每个输出接口开窗数：≥4画面</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149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配电柜</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1.额定功率：≥50KW，输出路数：≥15路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2.配电柜输入电压为交流380V±15%，工频50Hz。具有过压、浪涌、短路、过流、过载、漏电等保护功能。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3.内置避雷器，具有避雷防雷功能。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4.配电柜含多功能卡控制，具有远程控制功能。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5.支持通过LED显示屏智慧控制系统软件实现电源监视、温度监控等操作。</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支架及其他材料</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定制整体框架结构，不锈钢包边，具体要根据现场的尺寸及图纸来订制</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43.97</w:t>
            </w:r>
          </w:p>
        </w:tc>
        <w:tc>
          <w:tcPr>
            <w:tcW w:w="521"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控制主机</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F</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返看显示设备</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65英寸电视</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≥65英寸，屏幕比例16:9，屏幕分辨率超高清4K，响应时间≤8ms，色域值≥80%、屏占比≥97%，支持、HDMI、USB，待机功率≤0.5W，电源功率≤180W</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移动落地电视挂架</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(55-80英寸)通用液晶电视移动挂架</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二</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专业扩声系统</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主扩线阵专业功放</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1.支持开机软启动，支持高品质变压器和低阻大容量电解滤波，内置30Hz/50Hz高通滤波器；支持智能控制强制散热设 计，内置智能压限系统。</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2.支持立体声或桥接、并行工作模式，输出功率支持立体声/并联8Ω×2:1200W×2，立体声/并联4Ω×2:1800W×2，立体声/并联2Ω×2:2700W×2，桥接8Ω:3600W、桥接4Ω:5400W。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3.采用XLR/TRS接口输入接口，支持过流保护、直流保护、短路保护等功能，具有电源 、保护、失真指示灯。</w:t>
            </w:r>
            <w:r>
              <w:rPr>
                <w:rStyle w:val="11"/>
                <w:rFonts w:hint="eastAsia" w:ascii="宋体" w:hAnsi="宋体" w:eastAsia="宋体" w:cs="宋体"/>
                <w:b/>
                <w:bCs/>
                <w:color w:val="auto"/>
                <w:sz w:val="24"/>
                <w:szCs w:val="24"/>
              </w:rPr>
              <w:t>(需提供权威检测机构出具的检测报告复印件进行佐证)</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主线阵专业音箱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1.标称阻抗：8Ω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2.功率：≥600W(AES)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3.峰值功率：2400W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4.灵敏度：≥103dB (1M/1W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5.最大声压级（额定/峰值）：≥131dB/137dB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6.水平覆盖角(-6dB)：110°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7.频率范围：65Hz-20KHz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8.低频扬声器：≥8"*2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9.高频扬声器：≥77mm（3"）压缩驱动器*1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主扩线阵次低频音箱功放</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1.设备支持开机软启动，支持高品质变压器和低阻大容量电解滤波，内置30Hz~50Hz高通滤波器；支持智能控制强制散热设 计，内置智能压限系统。</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2.支持立体声或桥接、并行工作模式，输出功率支持立体声/并联8Ω×2:1200W×2，立体声/并联4Ω×2:1800W×2，立体声/并联2Ω×2:2700W×2，桥接8Ω:3600W、桥接4Ω:5400W。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3.采用XLR/TRS接口输入接口，支持过流保护、直流保护、短路保护等功能，具有电源、保护、失真指示灯。</w:t>
            </w:r>
            <w:r>
              <w:rPr>
                <w:rStyle w:val="11"/>
                <w:rFonts w:hint="eastAsia" w:ascii="宋体" w:hAnsi="宋体" w:eastAsia="宋体" w:cs="宋体"/>
                <w:b/>
                <w:bCs/>
                <w:color w:val="auto"/>
                <w:sz w:val="24"/>
                <w:szCs w:val="24"/>
              </w:rPr>
              <w:t>(需提供权威检测机构出具的检测报告复印件进行佐证)</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主扩线阵次低频音箱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1.音箱类型为超低频音箱，低频扬声器：18"*1。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2.功率≥800W、标称阻抗：8Ω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3.频率范围：40Hz-400Hz，灵敏度≥101dB(1M/1W)。</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田字支架</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1.田字架≥1个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2.连接杆≥4条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3.U型扣≥4个</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葫芦支架</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wordWrap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1.葫芦架≥1套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2.长度：≥6米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3.承重：≥2000千克</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钢丝绳</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钢丝绳，≥Φ8mm*1米（7*19）参 考重量：100米/Kg=≥25.6</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最小破断拉力：≥33.35KN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最大承重：≥3403Kg</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100</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钢丝绳锁扣</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≥304不锈钢741型夹头、卡头</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批</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中置专业功放</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1.输出功率（20Hz-20KHz/THD≤1％）：立体声/并联8Ω×2：900W×2、立体声/并联4Ω×2：1350W×2、立体声/并联2Ω×2：2000W×2、桥接8Ω：≥2600W、桥接4Ω：≥4000W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中置专业音箱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2.频响：45Hz~20KHz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3.额定功率：≥650W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4.灵敏度：≤100dB/W/M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5.覆盖角度：≥(H)90°≥(V)70°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6.高音：1.73"压缩高音单元×1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7.低音：15"低音×1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钢丝绳</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1.钢丝绳，≥Φ8mm*1米（7*19）</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2.参 考重量：100米/Kg=≥25.6</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3.最小破断拉力：≥33.35KN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4.最大承重：≥3403Kg</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50</w:t>
            </w:r>
          </w:p>
        </w:tc>
        <w:tc>
          <w:tcPr>
            <w:tcW w:w="521"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钢丝绳锁扣</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≥304不锈钢741夹头、卡头</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批</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拉声专业功放</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 输出功率（20Hz-20KHz/THD≤1％）：立体声/并联8Ω×2：700W×2、立体声/并联4Ω×2：1050W×2、立体声/并联2Ω×2：1500W×2、桥接8Ω：≥2100W、桥接4Ω：≥3000W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t> </w:t>
            </w:r>
          </w:p>
          <w:p>
            <w:pPr>
              <w:pStyle w:val="8"/>
              <w:keepNext w:val="0"/>
              <w:keepLines w:val="0"/>
              <w:widowControl/>
              <w:suppressLineNumbers w:val="0"/>
              <w:spacing w:before="0" w:beforeAutospacing="0" w:after="150" w:afterAutospacing="0" w:line="300" w:lineRule="atLeast"/>
              <w:ind w:left="0" w:right="0"/>
              <w:textAlignment w:val="center"/>
              <w:rPr>
                <w:color w:val="auto"/>
              </w:rPr>
            </w:pP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拉声专业音箱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2.频响：45Hz~20KHz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3.额定功率：≥450W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4.灵敏度：≥100dB/W/M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6.高音：1.73"压缩高音单元×1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7.低音：15"低音×1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159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1.固定面板尺寸（长*宽）：≥230mm*≥152mm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2.臂杆长度：≥230mm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3.箱体固定杆长度：≥155mm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辅助四通道数字功放</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1.采用D类功放设 计，支持开机软启动；支持智能削峰限幅器，控制功率模块及扬声器系统在安全范围内工作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2.内置低切开关选择的功能。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3.支持立体声或并接工作模式：输出功率支持立体声/并联8Ω×4：500W×4，支持立体声/并联4Ω×4：700W×4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4.采用标准XLR+TRS1/4" 复合多功能输入接口。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5.支持过压保护、欠压保护、过温压限、过流压限、直流保护、输出短路保护、温控风扇等功能。</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辅助专业音箱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2.频响：50Hz~20KHz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3.额定功率：≥350W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4.灵敏度：≥99dB/W/M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6.高音：1.7"压缩高音单元×1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7.低音：12"低音×1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18</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1.固定面板尺寸（长*宽）：≥230mm*≥152mm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2.臂杆长度：≥230mm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3.箱体固定杆长度：≥155mm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■19</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台唇专业功放</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1.两声道功放有≥三档输入灵敏度选择（支持0.775V/1V/1.44V），可轻松接纳宽幅度范围信号源输入。输入座接地脚接地和悬浮控制。</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2.采用强制散热设 计；具有安全保护措施和工作状态指示（短路、过载、直流和过热保护，变压器过热保护）。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3.输出功率:立体声/并联8Ω:350W*2.立体声/并联4Ω:530W*2.桥接8Ω:1060W。</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4、采用标准XLR+TRS1/4"复合多功能输入接口。智能削峰限幅器，控制功率模块及扬声器系统在安全范围内工作。</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20</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台唇专业音箱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2.频响：60Hz~20KHz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4.灵敏度：≥96dB/W/M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6.高音：1.4"压缩高音单元×1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7.低音：8"低音×1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返听专业功放</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1.输出功率（20Hz-20KHz/THD≤1％）：立体声/并联8Ω×2：700W×2、立体声/并联4Ω×2：1050W×2、立体声/并联2Ω×2：1500W×2、桥接8Ω：2100W、桥接4Ω：3000W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t>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返听专业音箱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2.频响：60Hz~20KHz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4.灵敏度：≥98dB/W/M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6.高音：1.4"压缩高音单元×1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7.低音：8"低音×1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超低频专业功放</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1.支持开机软启动，支持高品质变压器和低阻大容量电解滤波，内置30Hz~50Hz高通滤波器；支持智能控制强制散热设 计，内置智能压限系统。</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2.支持立体声或桥接、并行工作模式，输出功率支持立体声/并联8Ω×2:1200W×2，立体声/并联4Ω×2:1800W×2，立体声/并联2Ω×2:2700W×2，桥接8Ω:3600W、桥接4Ω:5400W。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3.采用XLR/TRS接口输入接口，支持过流保护、直流保护、短路保护等功能，具有电源 、保护、失真指示灯。</w:t>
            </w:r>
            <w:r>
              <w:rPr>
                <w:rStyle w:val="11"/>
                <w:rFonts w:hint="eastAsia" w:ascii="宋体" w:hAnsi="宋体" w:eastAsia="宋体" w:cs="宋体"/>
                <w:b/>
                <w:bCs/>
                <w:color w:val="auto"/>
                <w:sz w:val="24"/>
                <w:szCs w:val="24"/>
              </w:rPr>
              <w:t>(需提供权威检测机构出具的检测报告复印件进行佐证)</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超低频专业音箱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1．阻抗：≤4Ω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2．频响：40Hz-400Hz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3．额定功率：≥1200W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4．灵敏度：≥101dB/W/M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5．低音：≥18"低音×2</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无线手持话筒（一拖二）</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1.频率指标：640-690MHz,740-790MHz，调制方式：宽带FM，频道数目：≥200个频道。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2.配套有1台接收主机和2个无线手持话筒。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3.采用UHF超高频段双真分集接收，并采用PLL锁相环多信道频率合成技术。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4.接收机指标：采用自动选讯接收方式，灵敏度: ≥12dB μV（80dBS/N)，频率响应:40Hz-18KHz（±3dB）。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5.发射机指标：音头采用动圈式麦克风；手持麦克风内置螺旋天线。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6.输出功率:≤30mW。</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无线头戴话筒（一拖二）</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1.频率指标：640-690MHz,740-790MHz，调制方式：宽带FM，频道数目：≥200个频道。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2.配套有一台主机+双头戴无线话筒。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3.采用UHF超高频段双真分集接收，并采用PLL锁相环多信道频率合成技术。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4.接收机指标：采用自动选讯接收方式，灵敏度: ≥12dB μV（80dBS/N)，频率响应:40Hz-18KHz（±3dB）。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5.发射机指标：音头采用动圈式麦克风；腰挂发射器采用1/4波长鞭状天线。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6.输出功率:≤30mW。</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无线鹅颈话筒（一拖四）</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1.采用PLL频率合成锁相环技术，微电脑集成中央处理器CPU总线控制系统。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2.兼容手动选频和红外自动对频锁定频道， 杂讯锁定静噪控制及音码锁定静噪控制。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3.V/A显示屏在任何角度观察字体清晰同时显示信道号与工作频率。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4.带≥8级射频电平显示，≥8级音频电平显示，频道菜单显示，静音显示。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5.使用640-830MHZ频段，每台接收机拥有≥200个可调频率。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6.支持平衡和非平衡两种选择输出端口。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7.包括有一台主机+四台桌面式无线麦克风</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169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28</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天线分配器</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1.可支持为≥4台一拖二真分集话筒自动选讯接收机的多频道系统共用一对天线和一个电源。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2.频带范围：470-960MHz，输出/入增益+1.0dB(频段中心)，输出/入阻抗：≤50Ω，频宽：≥320MHz。</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29</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话筒天线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1.宽频定向天线680-960MHz；适用于GSM,CDMA,WCDMA,WLAN,LTE网络。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2.水平面波源宽度：60°、垂直面波源宽度： 50°。</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30</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充电器</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1.充电器支持双路双LCD显示屏充电显示功能。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2.充电器可为两个无线话筒同时充电，支持给手持话筒或腰包发射器充电。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3.采用恒压PWM方式和涓流方式充电。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4.支持电池故障提示功能。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5.带点阵LCD显示屏充电状态</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小振膜话筒</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1.采用柱极式电容麦克风设 计，具有良好的束状特性。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2.接口：平衡式XLR接口；方向特性：束状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3.支持单只麦克风或多只麦克风同时使用。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4.幻象供电：+48V</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高度：980-1680mm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斜杠：550-900mm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数字调音台</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1.支持≥24路Mic输入接口兼容24路线路输入接口，话筒输入接口带48V幻象电源。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2.支持≥2组立体主输出、≥8路编组+辅助输出、≥1组立体监听输出、≥1路耳机监听输出。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3.采用32-bit浮点 DSP处理器，24bit/48Khz数模/模数转换。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4.支持1个≥7英寸IPS触屏，支持≥1024×600分辨率；具备≥13个100mm行程的高精密电动推子。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5.输入通道支持4段参数均衡，输出通道支持31段图示均衡。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6.支持≥2个USB接口，支持立体声录音/播放/系统更新。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7.支持≥1路网络接口，支持固件更新或可用于连接ipad进行远程管控。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8.支持场景记忆功能，可保存、调用≥24个场景。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9.支持自动混音功能、RTA功能、Talkback功能；具有≥12种效果处理器。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10.支持DCA分组功能，可以把几个输入信号编成1组来控制音量大小，支持≥12组DCA。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11.支持复制功能；支持锁定、解锁、密码修改功能。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12.支持Talkback功能，通过Talkback键可进行插播讲话。</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数字音频处理器</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1.数字音频处理器支持≥16路平衡式话筒/线路输入通道，采用裸线接口端子，平衡接法；支持≥16路平衡式线路输出，采用裸线接口端子，平衡接法。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2、输入通道支持前级放大、信号发生器、扩展器、压缩器、≥5段参量均衡、AM自动混音功能、AFC自适应反馈消除、AEC回声消除、ANC噪声消除。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3.输出通道支持≥31段图示均衡器、延时器、分频器、高低通滤波器、限幅器。</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4.支持24bit/48KHz的声音，支持输入通道48V幻象供电。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5.配置双向RS-232接口，可用于控制外部设备；配置RS-485接口，可实现自动摄像跟踪功能。配置≥8通道可编程GPIO控制接口（可自定义输入输出）。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6.支持断电自动保护记忆功能，联控功能。</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信号分配器</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1.支持双通道1进≥6出信号分配器/单通道1进≥12出信号分配器，立体声和单声道可选择。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2.频率响应20Hz-20KHz，总谐波失真度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3.输入输出接口类型采用≤775mV卡侬平行，输入阻抗：≤10KΩ ，输出阻抗：775mV/≤ 600Ω</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抑制器</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1.采用≥96KHz采样频率，32-bit DSP处理器，24-bitA/D及D/A转换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2.支持数字信号输入输出通道提供coaxial，AES及光纤接口。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3.支持≥144 x 32的LCD显示屏显示参数功能，提供≥6段LED显示输出电平；每通道≥24个LED灯显示啸叫抑制状态数量；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4.每通道支持压缩、限幅、噪声门、功能设置，可切换工作模式为直通或反馈抑制；可任意编辑固定和动态反馈点数量，可一键清除啸叫点；单机可存储≥30组用户程序。</w:t>
            </w:r>
            <w:r>
              <w:rPr>
                <w:rStyle w:val="11"/>
                <w:rFonts w:hint="eastAsia" w:ascii="宋体" w:hAnsi="宋体" w:eastAsia="宋体" w:cs="宋体"/>
                <w:b/>
                <w:bCs/>
                <w:color w:val="auto"/>
                <w:sz w:val="24"/>
                <w:szCs w:val="24"/>
              </w:rPr>
              <w:t>(需提供权威检测机构出具的检测报告复印件进行佐证)</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专业无损播放器</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1.专业无损数字播放器。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2.可通过SD卡、U盘、PC等多种存储进行选择。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3.可对APE,FLAC,WAV,MP3,WMA等多种格式的音频进行播放，最高支持≥24bit/96KHz解码，向下兼容。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4.≥96khz/24位采样率,支持电脑系统连接。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5.≥5英寸TFT真彩屏显示。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6.支持手机通过WIFI连接播放器，进行无损无线的播放。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7.多种接口输出。支持莲花座、XLR平衡模拟输出，同轴、光纤、AES3数字输出。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8.支持自定义歌曲编组保存，编曲播放。≥12组播放清单，每组清单可编程≥100首歌按顺序播放。</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9.支持列表顺序，列表循环，单曲循环，列表随机播放。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10.歌曲播放控制，全部支持快捷按键直接控制。</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■38</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有源音箱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1.有源音箱内置高保真扬声器，额定输出功率支持≥2×25W，支持≤4-8Ω输出阻抗。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2.支持≥1路话筒和≥1路立体声线路输入接口、≥1路立体声线路输出接口，带默音功能，话筒优先于线路输入。具有≥1个麦克风音量调节，≥1个线路输入音量调节，≥2个高低音调节。</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3.支持≥100V广播输入接口。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4.具有输出过载、过压、短路保护。</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5.信噪比≥70dB，频率响应 40Hz~20KHz(≤±3dB)，谐波失真≤1%。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对</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三</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分布式集中控制系统</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用户端中控控制软件</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1.客户端软件支持运行在操作系统，支持对信号分类及排序功能，可快速选择信号源进行切换，在移动端软件实现对信号源实时预览。支持不少于≥20路实时动态图像预览。</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自由操控，支持拖曳视频源到显示控制区域，可实现所有视频信号源的视窗管理、拼接、任意缩放、画中画、画面漫游等功能，可实现对视窗参数的调整（叠加关系、位置、大小、比例等），方便的拖放操作，极易上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使用PC客户端软件对分布式系统进行可视化管理、信号切换、画面叠加、画中画、画面拼接、画面漫游、画面放大/缩小、画面移动/关闭等操作，支持对显示控制区域实时监控；支持多用户多平台同步操作，支持不同平台操作界面实时同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中控功能，支持自定义添加受控设备，可实现可编辑中控，支持RS-232.RS-422.RS-485.IR、I/O、TCP/IP等控制方式；支持多种控件选择，可随意配置中控界面。可控制高清矩阵信号切换、电源设备开关、摄像头的转动方向放大缩小及预置位调用、音频音量、灯光/空调开关等中控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5.支持采用无线拖拽的方式将视频信号源推送到各个显示终端上。</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6.支持互动呈现功能，在PC端管理操作系统时，客户端会实时更新信息及画面显示，达到同步更新效果，并且实时在显示屏上显示，实现屏下与屏上的协同互动。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7.支持自定义编辑和预存不同的场景，支持显示预案设置、存储、调用；支持音频、视频、控制信号场景一键式快速调用，可定义不同场景切换效果及场景名 称，支持自定义编辑会议模式、调用预存的会议模式。支持场景轮询，轮询时间可调。</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拼接中控</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1.采用嵌入式硬件架构。采用内嵌式处理器，处理速度最高可达528MHz，内存不低于256MDDR3RAM，128MNANDFlash。</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2.具备100Mbps标准RJ45网络接口，支持本地及远程多样控制方式，可实现全网络控制。支持分布式部署架构，可根据需求无限扩展接口。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3.支持可编程控制平台，交互式的控制结构，可进行多设备间智能联动。支持B/S架构，支持IOS、安卓等操作系统的PC、移动平台对分布式系统的管控。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4.具备≥8路独立可编程串口，可双向传输RS232，RS485及RS422信号；具备≥8路数字I/0输入输出控制口，具备8路弱电继电器接口。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5.具备≥4路独立可编程IR红外发射口，可调发射功率；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6.内嵌智能红外学习功能模块，具备≥1个红外接收口，可支持红外遥控学习。</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壁挂式触摸屏</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1.显示屏采用≥10.1英寸高清显示屏；实现对中控系统进行管控（场景切换、音量调节、灯光开关控制及亮度调节、视频矩阵信号切换/场景调用、电源设备开关控制等）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2.内置≥200W摄像头和≥2*2W喇叭。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3.支持≥1路RJ45网络接口，采用100M网络传输。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4.支持电容屏多点触摸，CPU：≥1.8G、RAM：≥2GB、内存：≥8GB。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5.全视角高清屏，分辨率为≥1280*800。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6.支持DC12V供电和POE供电。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7.支持控制逻辑、处理功能、编程图片、图形、文字、按键等界面。</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移动控制终端</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 屏幕≥10.8英寸，内存+存储≥6GB+128GB WIFI</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179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移动终端控制软件</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软件支持分辨率自适应功能，可在安卓手机、平板的安卓系统5.1或以上版本。支持对信号分类及排序功能，可快速选择信号源进行切换，在移动端软件实现对信号源可视化实时预览。支持不少于≥20路实时动态图像预览。</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自由操控，支持拖曳视频源到显示控制区域，可实现所有视频信号源的视窗管理、拼接、任意缩放、画中画、画面漫游等功能，可实现对视窗参数的调整（叠加关系、位置、大小、比例等），方便的拖放操作，极易上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使用平板软件对分布式系统进行可视化管理、信号切换、画面叠加、画中画、画面拼接、画面漫游、画面放大/缩小、画面移动/关闭等操作，支持对显示控制区域实时监控；支持多用户多平台同步操作，支持不同平台操作界面实时同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中控功能，支持自定义添加受控设备，可实现可编辑中控，支持RS-232.RS-422.RS-485.IR、I/O、TCP/IP等控制方式；支持多种控件选择，可随意配置中控界面。可控制高清矩阵信号切换、电源设备开关、摄像头的转动方向放大缩小及预置位调用、音频音量、灯光/空调开关等中控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5.支持采用无线拖拽的方式将视频信号源推送到各个显示终端上。</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6.支持互动呈现功能，在PC端管理操作系统时，平板端会实时更新信息及画面显示，达到同步更新效果，并且实时在显示屏上显示，实现屏下与屏上的协同互动。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7.支持自定义编辑和预存不同的场景，支持显示预案设置、存储、调用；支持音频、视频、控制信号场景一键式快速调用，可定义不同场景切换效果及场景名 称，支持自定义编辑会议模式、调用预存的会议模式。支持场景轮询，轮询时间可调。</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180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无线路由器</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双频无线≥2600M 千兆端口大户型穿墙 板阵天线智能路由</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181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四</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矩阵切换系统</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分布式采集盒</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1.视频编码处理器，要求支持高性能的H.265视频编码，能够实现不同分辨率视频的自适应采集及视频编码，分辨率≥1080P。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2.支持≥1路HDMI视频输入接口、≥1路HDMI视频环出接口、≥1路3.5mm音频输入接口、≥1路RJ45网口。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3.支持采用POE供电，也支持通过电源适配器进行供电，采用低功耗设 计，功耗＜8W。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4.自带一键复位动态IP功能，支持固件升级。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5.支持≥1路USB接口，支持KVM功能，支持控制电脑、大屏的视频窗口切换等功能；支持鼠标漫游跨屏功能。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6.支持中控功能，具有≥1×RS-485接口、≥1×RS-232接口、≥2×I/O口、≥1×IR IN、≥1×IR OUT；支持自定义配置。</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182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分布式输出盒</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1.分辨率：1080P30帧、1080P60帧，编解码能力：支持H.265视频编码、AAC-LC音频编码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2.POE供电最大仅≤7W；良好散热静音无风扇设 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3.采用H.265视频解码技术，兼容H.264视频解码，支持高清视频信号≥1080P60帧输出。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4.支持对解码后的视频进行缩放、切割、拼接、叠加、同步及显示等处理。支持1×1、2×2、3×3等布局方式，支持手动自定义输入行、列数。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5.支持画面分割功能，单屏输出视频窗口可达≥16路，视频效果可达≥1080P30帧。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6.支持AAC-LC音频编解码。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7.具备中控功能，支持RS-232、RS-485、I/O口、红外信号的输入和输出信号，可自定义配置。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8.视频接口：≥1×HDMI、≥1×VGA，音频接口：≥1×3.5mm立体声音频输出，USB接口：≥2×USB（KVM接口），网口：≥1×RJ45，10/100/1000Base-T，支持POE，串口：≥1×RS-485、≥1×RS-232，红外：≥1×IR IN、≥1×IR OUT，I/O口：≥2×I/O口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9.盒子自带一键复位动态IP功能。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10.支持≥1路HDMI视频接口和≥1路VGA视频接口输出，具备3.5mm音频输出接口，支持HDMI音频输出，支持音视频同步传输。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11.支持KVM坐席管理功能，通过指令调出信号管理界面进行KVM坐席信号切换，一套键盘鼠标对多显示器实现操作，简洁桌面环境。支持KVM坐席多屏间鼠标漫游功能，支持KVM坐席单屏多画面鼠标漫游功能。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12.支持KVM功能，支持控制电脑、大屏的视频窗口切换等功能；支持鼠标漫游跨屏功能；可实现跨平台操作，包括Windows、linux、Mac等系统平台。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13.KVM坐席管理可实现信息实时抓取，支持通过一套键盘的热键，坐席人员可以将任意显示器或大屏信息抓取至本地显示器，也可以将本地显示器的信息推送至任意显示器或大屏。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14.支持字幕功能，可改变字体颜色、字体大小、位置等，并显示在视频层上面；支持图标功能。</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183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五</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舞台灯光系统</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固定染色灯（一顶光）</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1.频闪:1-25Hz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2.光源:54×3W LED(3IN1)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3.色温:3200K～7200K</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4.透镜角度:≥25°灯具具有RGB(红绿蓝)混色，内置宏功能。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5.灯具调光范围为0-100%可调。</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6.灯具具有主从自走自动同步功能，控台正常控制自走永久同步功能。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7.灯具内置NTC温度控测功能，当LED工作过热时，降低LED的输出功率。</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8.灯具配备 DMX512接口、支持RDM协议接口。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9.灯具内置程序自走、主从联机模式功能。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10.灯具DMX控制通道数量为3/7通道。</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影视灯（一顶光）</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1.光源:2835/0.5W LED暖白+冷白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2.色温:3200-6500K</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3.显色指数:CRI:Ra≥95，TLCI≥95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4.灯具具有暖白/冷白混色功能。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5.灯具调光范围为0-100%可调。</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6.灯具内置NTC温度控测功能，当LED工作过热时，降低LED的输出功率。</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7.灯具DMX控制通道数量为2/6/7通道。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8.灯具具有单独色温手动调选功能。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9.灯具配备支持RDM协议接口。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10.灯具内置三种风扇调速模式:常规模式，低速模式，静音模式</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固定染色灯（二顶光）</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1.频闪:1-25Hz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2.光源:54×3W LED(3IN1)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3.色温:3200K～7200K</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4.透镜角度:≥25°灯具具有RGB(红绿蓝)混色，内置宏功能。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5.灯具调光范围为0-100%可调。</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6.灯具具有主从自走自动同步功能，控台正常控制自走永久同步功能。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7.灯具内置NTC温度控测功能，当LED工作过热时，降低LED的输出功率。</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8.灯具配备 DMX512接口、支持RDM协议接口。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9.灯具内置程序自走、主从联机模式功能。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10.灯具DMX控制通道数量为3/7通道。</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影视灯（二顶光）</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1.光源:2835/0.5W LED暖白+冷白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2.色温:3200-6500K</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3.显色指数:CRI:Ra≥95，TLCI≥95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4.灯具具有暖白/冷白混色功能。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5.灯具调光范围为0-100%可调。</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6.灯具内置NTC温度控测功能，当LED工作过热时，降低LED的输出功率。</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7.灯具DMX控制通道数量为2/6/7通道。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8.灯具具有单独色温手动调选功能。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9.灯具配备支持RDM协议接口。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10.灯具内置三种风扇调速模式:常规模式，低速模式，静音模式</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固定染色灯（三顶光）</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1.频闪:1-25Hz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2.光源:54×3W LED(3IN1)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3.色温:3200K～7200K</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4.透镜角度:≥25°灯具具有RGB(红绿蓝)混色，内置宏功能。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5.灯具调光范围为0-100%可调。</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6.灯具具有主从自走自动同步功能，控台正常控制自走永久同步功能。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7.灯具内置NTC温度控测功能，当LED工作过热时，降低LED的输出功率。</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8.灯具配备 DMX512接口、支持RDM协议接口。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9.灯具内置程序自走、主从联机模式功能。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10.灯具DMX控制通道数量为3/7通道。</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摇头灯（三顶光）</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1.频闪:频率0.5-13次/s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2.光束角度:≥2.5°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3.灯具色盘具有≥14个颜色片+≥1个白光。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4.灯具具有双向彩虹效果。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5.灯具色盘具有速度可调，任意定位功能。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6.灯具固定图案盘具有≥16个固定图案片+≥1个白光。</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7.灯具具有单向流水,速度可调，任意定位功能。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8.灯具拥有≥十六面旋转棱镜+≥6排镜。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9.灯具棱镜能正反向旋转,可叠加,速度可调。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10.灯具具有雾化功能。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11.灯具采用宽屏≥2.8英寸LCD液晶中英文显示界面。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12.液品显示菜单具有菜单分层结构,支持触摸屏的常规操作，包括点击、双击、滑动等操作手势。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13.灯具散热采用风向引流与温度监控技术,根据灯具不向位置的温度高低，自动驱动灯具里面不向部位的冷却风扇，对灯具部件进行有效的冷却。</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14.当灯具陀螺仪功能打开时，Y轴自动补偿校准。</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15.灯具具有3-25.5米自动对焦功能。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16.灯具配备DMX512接口；支持RDM协议接口、支持Art-net以太网数据接口。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17.灯具DMX控制通道数量为14/17通道。</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面光灯</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1.COB白光200W LED；3200K Ra≥91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2.光束角度:≥19度（26度可选择)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3.通道:2通道</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184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特效设备</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1.混色：RGBWAP无极混色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2.输出烟雾量：大约32,000 立 方英尺/分钟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3.喷射距离：大约4-6.0 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4.输出耗油量：大约7 min/L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5.持续输出时间（100输出）：大约30 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6.满载耗材输出时间（100输出）：大约25 分钟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7.额度功率：≥1500W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8.LED颜色：RGBWAP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9.预热时间：大约4.0 分钟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10.加热器类型（加热铝/速热器）：加热铝</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11.油桶容积：≥4.0 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12.控制方式:DMX512控制、遥控控制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13.通道:≥11通道，2种通道模</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185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控台</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1.DMX512/1990标准，≥1024个DMX控制通道，≥两路光电隔离信号输出。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2.控制≥96台电脑灯或≥96路调光。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3.使用珍珠灯库（R20格式灯库），且控台上可自行编写灯库。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4.带背光的LCD显示屏，首创的中英文显示可切换界面。面板中文可选。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5.内置图形轨迹发生器，有≥208个内置图形，方便用户对电脑灯进行图形轨迹控制，如画圆、螺旋、彩虹、追逐等多种效果。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6.图形参数（如：振幅、速度、间隔、波浪、方向）均可独立设置，更方便快捷的做出想要的造型和场景。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7.每个场景可保存图形数量≥5个；同时可运行图形数量≥10个。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8.场景能够实现交叠功能，图形有宽度参数，能够更快速的编程。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9.具有高级编组功能。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10.可储存≥60个素材，素材共享或者独立素材均可随心设置。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11.素材储存模式有四种，素材储存和调用灵活便捷。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12.可储存≥60个重演场景，用于储存多步场景和单步场景。每个多步场景最多可储存≥600个单步。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13.可同时输出和运行≥10个重演场景。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14.带≥10根集控推杆。按键点控和推杆集控兼容。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15.支持重新配节地址码、垂直水平交换、通道输出反向等功能。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16.关机或者突发断电等情况数据可记忆保持。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17.U盘可备份控台数据，并支持重新导入到控台使用，同型号控台数据可共享。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18.支持立即黑场、场景互锁。</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186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直通箱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1.过载与短路双重保护高分断空气开关。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2.A.B.C三相工作指示灯。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3.设两脚和三脚万能用插座方便使用，单≥40A胶木插输出。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4.额定功率：12路×4kW，可适用于任何负载。</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187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信号放大器</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 ≥2路DMX512数码输入。</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 输入输出光电隔离 。</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 ≥8路独立放大驱动输出。</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 信号放大整形功能，延长信号传输距离。</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 增强数据总线接入设备数量的能力。保护灯光控制台DMX512输出接口，故障现场隔离，提高数字式灯光控制系统的安全可靠性。</w:t>
            </w:r>
          </w:p>
          <w:p>
            <w:pPr>
              <w:pStyle w:val="8"/>
              <w:keepNext w:val="0"/>
              <w:keepLines w:val="0"/>
              <w:widowControl/>
              <w:suppressLineNumbers w:val="0"/>
              <w:spacing w:before="0" w:beforeAutospacing="0" w:after="150" w:afterAutospacing="0" w:line="300" w:lineRule="atLeast"/>
              <w:ind w:left="0" w:right="0"/>
              <w:textAlignment w:val="center"/>
              <w:rPr>
                <w:color w:val="auto"/>
              </w:rPr>
            </w:pPr>
            <w:r>
              <w:rPr>
                <w:rFonts w:hint="eastAsia" w:ascii="宋体" w:hAnsi="宋体" w:eastAsia="宋体" w:cs="宋体"/>
                <w:color w:val="auto"/>
                <w:sz w:val="24"/>
                <w:szCs w:val="24"/>
              </w:rPr>
              <w:t>6.独立的LED信号指示。  </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188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灯光地插</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母卡农座*≥1，五孔电源*≥1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189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灯杆</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外径≥50镀锌圆管,φ≥50*≥2.5mm，长≥6米</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根</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36</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水烟油</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≥4.5L/瓶</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瓶</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六</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舞台机械系统</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轻型铝合金对开大幕机</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1.功率：≥370W电机台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2.速度：≥1.5m/s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3.传动箱和轨道总长：≥大幕15米，重叠≥2米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4.易装式，变频调速，带机械限位</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190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大幕轻型对开铝合金成品轨道</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轻型对开铝合金成品轨道≥1道，含传动箱尺寸，大幕≥15米，单边对开≥8.5米，，轻型对开铝合金拼接式轨道，横截面42mm*89mm，每节长最大3米</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191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轻型铝合金对开二幕机</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1.功率：≥370W电机台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2.速度：≥1.5m/s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3.传动箱和轨道总长：≥大幕15米，重叠≥2米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4.易装式，变频调速，带机械限位</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192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二幕轻型对开铝合金成品轨道</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轻型对开铝合金成品轨道≥1道，含传动箱尺寸，大幕≥15米，单边对开≥8.5米，轻型对开铝合金拼接式轨道，横截面42mm*89mm，每节长最大3米</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193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轻型铝合金对开三幕机</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1.功率：≥370W电机台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2.速度：≥1.5m/s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3.传动箱和轨道总长：≥大幕15米，重叠≥2米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4.易装式，变频调速，带机械限位</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194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三幕轻型对开铝合金成品轨道</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轻型对开铝合金成品轨道≥1道，含传动箱尺寸，大幕≥15米，单边对开≥8.5米，，轻型对开铝合金拼接式轨道，横截面42mm*89mm，每节长最大3米</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195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两路对开幕变频控制机箱</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1.功率输出：≥2*1.1KW；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2.网络接口：≥一个以太网端口；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3.电机限位线接口：≥1个DC24V；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4.遥控接口：≥1个DC24V；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5.遥控范围：≥100米内无障碍控制；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6.控制按钮：≥4个；急停按钮：≥1个；切换开关：≥1个；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7.可编程控制器(PLC)I/O：≥12点输入/8点数出；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8.可编程控制器(PLC)I/O扩展模块：最多支持≥6个扩展模块；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9.数据传输速率：≥10/100 Mbit/s；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10.输出路数：≥两路变频控制输出。</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196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杆体（固定吊杆）</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吊杆：≥16m；数量：≥1道；≥￠50管，防锈底漆；</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道</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197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七</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舞台幕布系统</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前檐幕</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14.7m*0.65m*3*1(长×高×折比3×块)  </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克重：240g/㎡±3%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布料：金丝绒(浸泡阻燃）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尺寸：长*高*折比3:1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防火阻燃级别：B1级</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31</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198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前檐幕衬里</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14.7m*0.65m*1*1(长×高×折比1×块)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克重：240g/㎡±3%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布料：金丝绒(浸泡阻燃）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尺寸：长*高*折比1:1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防火阻燃级别：B1级</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199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对开大幕</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8.5m*4.8m*3*2(长×高×折比3×块)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克重：240g/㎡±3%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布料：金丝绒(浸泡阻燃）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尺寸：长*高*折比3:1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防火阻燃级别：B1级</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245</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对开大幕衬里</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8.5m*4.8m*1*2(长×高×折比1×块)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克重：240g/㎡±3%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布料：金丝绒(浸泡阻燃）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尺寸：长*高*折比1:1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防火阻燃级别：B1级</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201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对开二幕</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6m*4.8m*3*2(长×高×折比3×块)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克重：240g/㎡±3%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布料：金丝绒(浸泡阻燃）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尺寸：长*高*折比3:1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防火阻燃级别：B1级</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245</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202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对开二幕衬里</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6m*4.8m*1*2(长×高×折比1×块)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克重：240g/㎡±3%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布料：金丝绒(浸泡阻燃）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尺寸：长*高*折比1:1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防火阻燃级别：B1级</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203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对开底幕</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6m*4.8m*3*2(长×高×折比3×块)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克重：240g/㎡±3%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布料：金丝绒(浸泡阻燃）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尺寸：长*高*折比3:1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防火阻燃级别：B1级</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245</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204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对开底幕衬里</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6m*4.8m*1*2(长×高×折比1×块)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克重：240g/㎡±3%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布料：金丝绒(浸泡阻燃）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尺寸：长*高*折比1:1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防火阻燃级别：B1级</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82</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205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八</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其他设备</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65英寸电视</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≥65英寸，屏幕比例16:9，屏幕分辨率超高清4K，响应时间≤8ms，色域值≥80%、屏占比≥97%，支持、HDMI、USB，待机功率≤0.5W，电源功率≤180W</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206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可移动讲台</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移动多媒体钢制讲台，含多媒体控制器，≥1050mm*≥730mm*≥1000mm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207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可移动讲台主机</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208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讲台单主机</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主机主频≥3.7GHz，内存≥8G DDR4，硬盘≥256G SSD。</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209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九</w:t>
            </w:r>
          </w:p>
        </w:tc>
        <w:tc>
          <w:tcPr>
            <w:tcW w:w="3053"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辅材</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19英寸标准机柜（42U）</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42U机柜，采用冷轧钢板，H2000mm*W600mm*D600mm、立柱≥2.0mm 框架≥1.5mm 门板≥1.2mm（含PDU电源插排≥1，固定板部件≥3,风扇≥2,重型脚轮≥4，M12支脚≥4，M6方螺母螺钉≥40）。</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EVJV双绞音响线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符合国标，EVJV2*≥2.5mm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929</w:t>
            </w:r>
          </w:p>
        </w:tc>
        <w:tc>
          <w:tcPr>
            <w:tcW w:w="521"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符合国标，管径≥25mm,壁厚≥1.0mm含固定卡扣、弯头、镙栓等</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2360</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符合国标，管径≥32mm,壁厚≥1.0mm含固定卡扣、弯头、镙栓等</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431</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两芯多股铜芯护套线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符合国标，RVV2*≥1.0mm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99</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六芯屏蔽线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符合国标，RVVP6*≥1.0mm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29</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三芯多股铜芯护套线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符合国标，RVV3*≥1.5mm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20</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三芯多股铜芯护套线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符合国标，RVV3*≥2.5mm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643</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两芯屏蔽线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符合国标，RVVP2*≥0.5mm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234</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高频同轴电缆</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符合国标，≥SYV-50-5-1</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78</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符合国标，1*HDMI高清视频线</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132</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超六类4对非屏蔽电缆</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1.骨芯结构采用中心为十字芯设 计及23AWG线规，绝缘层采用高密度聚乙烯材料。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2.线缆外径：7.1±0.5mm；绝缘直径：1.12±0.05 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4.最大直流电阻：≤9.38Ω/100m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926</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2.线缆外径：5.1±0.5mm；绝缘层：≥0.2mm；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1406</w:t>
            </w:r>
          </w:p>
        </w:tc>
        <w:tc>
          <w:tcPr>
            <w:tcW w:w="52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PVC阻燃线管</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符合国标，PVC管径≥25mm，壁厚≥1.0mm含固定卡扣、直接、弯头、胶水等</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847</w:t>
            </w:r>
          </w:p>
        </w:tc>
        <w:tc>
          <w:tcPr>
            <w:tcW w:w="521"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双芯咪卡侬线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符合国标，RVPE2*≥0.5mm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75</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四芯多股铜芯护套线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符合国标，RVV4*≥2.5mm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46</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三芯屏蔽线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符合国标，RVVP3*≥0.75mm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46</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18</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多媒体地插</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配置接口：≥1个多功能电源接口、≥2个RJ45网络、≥1个3.5音频、≥1个HDMI高清视频接口、≥一个功能按键。</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19</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音频跳线：三芯卡侬头（母）-三芯卡侬头（公）(≥1.8m)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20</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20</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音频跳线：三芯卡侬头（母）-三芯卡侬头（公）(≥5m)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21</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音频跳线：RCA莲花-6.35mm大单芯(≥5m)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22</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音频跳线：6.35mm大单芯-6.35mm大单芯(≥5m)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23</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音频跳线：6.35mm大单芯-三芯卡侬头（公）(≥5m)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24</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音频跳线：3.5mm接线头-6.35mm大单芯(≥5m)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25</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音频跳线：3.5mm接线头-双6.35mm大单芯(≥5m)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26</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视频线</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 支持≥2K*4K，60HZ 支持2.0版本，长度≥5m</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70" w:hRule="atLeast"/>
        </w:trPr>
        <w:tc>
          <w:tcPr>
            <w:tcW w:w="47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27</w:t>
            </w:r>
          </w:p>
        </w:tc>
        <w:tc>
          <w:tcPr>
            <w:tcW w:w="8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音箱地插盒</w:t>
            </w:r>
          </w:p>
        </w:tc>
        <w:tc>
          <w:tcPr>
            <w:tcW w:w="218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弹起式≥/2个欧姆头</w:t>
            </w:r>
          </w:p>
        </w:tc>
        <w:tc>
          <w:tcPr>
            <w:tcW w:w="3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个</w:t>
            </w:r>
          </w:p>
        </w:tc>
        <w:tc>
          <w:tcPr>
            <w:tcW w:w="60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21"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4"/>
          <w:szCs w:val="24"/>
          <w:shd w:val="clear" w:fill="FFFFFF"/>
        </w:rPr>
        <w:t>6、150人阶梯教室清单</w:t>
      </w:r>
    </w:p>
    <w:tbl>
      <w:tblPr>
        <w:tblStyle w:val="9"/>
        <w:tblW w:w="5116"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47"/>
        <w:gridCol w:w="1530"/>
        <w:gridCol w:w="3870"/>
        <w:gridCol w:w="600"/>
        <w:gridCol w:w="1065"/>
        <w:gridCol w:w="89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序号</w:t>
            </w:r>
          </w:p>
        </w:tc>
        <w:tc>
          <w:tcPr>
            <w:tcW w:w="86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货物名 称</w:t>
            </w:r>
          </w:p>
        </w:tc>
        <w:tc>
          <w:tcPr>
            <w:tcW w:w="2196"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参数规格</w:t>
            </w:r>
          </w:p>
        </w:tc>
        <w:tc>
          <w:tcPr>
            <w:tcW w:w="340"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单位</w:t>
            </w:r>
          </w:p>
        </w:tc>
        <w:tc>
          <w:tcPr>
            <w:tcW w:w="604"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数量</w:t>
            </w:r>
          </w:p>
        </w:tc>
        <w:tc>
          <w:tcPr>
            <w:tcW w:w="510"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技术评分项号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一</w:t>
            </w:r>
          </w:p>
        </w:tc>
        <w:tc>
          <w:tcPr>
            <w:tcW w:w="868" w:type="pct"/>
            <w:tcBorders>
              <w:top w:val="nil"/>
              <w:left w:val="nil"/>
              <w:bottom w:val="nil"/>
              <w:right w:val="nil"/>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196" w:type="pct"/>
            <w:tcBorders>
              <w:top w:val="nil"/>
              <w:left w:val="nil"/>
              <w:bottom w:val="nil"/>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868" w:type="pct"/>
            <w:tcBorders>
              <w:top w:val="single" w:color="000000" w:sz="6" w:space="0"/>
              <w:left w:val="nil"/>
              <w:bottom w:val="nil"/>
              <w:right w:val="nil"/>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LED大屏系统  5.376m*2.304m=12.3863m2</w:t>
            </w:r>
          </w:p>
        </w:tc>
        <w:tc>
          <w:tcPr>
            <w:tcW w:w="2196"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68" w:type="pct"/>
            <w:tcBorders>
              <w:top w:val="single" w:color="000000" w:sz="6" w:space="0"/>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shd w:val="clear" w:fill="FFFF00"/>
              </w:rPr>
              <w:t>室内LED全彩显示屏P2.0（核心产品）</w:t>
            </w:r>
          </w:p>
        </w:tc>
        <w:tc>
          <w:tcPr>
            <w:tcW w:w="2196" w:type="pct"/>
            <w:tcBorders>
              <w:top w:val="single" w:color="000000" w:sz="6" w:space="0"/>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1.LED显示屏灯珠选用表贴三合一铜线封装，LED封装形式：SMD1515黑灯。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2.LED显示屏单个像素由1R1G1B构成，LED显示屏单个模组尺寸256mm*128mm，模组重量≤0.255kg，模组平整度≤0.2mm；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3.LED显示屏采用≤2.0mm点间距，像素点密度≥250000点/m2；LED显示屏像素中心距相对偏差≤1%；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4.LED显示屏采用磁吸前维护，可正面拆卸模组、接收卡、电源，支持模组、接收卡等低压器件多次带电热插拔测试后都能正常工作；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5.LED显示屏PCB板表面具备防潮/防尘/防静电/抗氧化等能力，支持共阳方案和共阴方案的兼容性设 计，可匹配相应LED、IC做共阳、共阴产品，多层电路板沉金工艺设 计，同时具有独特的消隐、节能处理、EMC处理、智能模组存储处理功能电路；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6.具有过流、短路、过压、欠压的保护功能；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7.LED显示屏电源输入端使用电压比较器检测输入电压大小，输出端运用工业级高精度运放电路检测输出负载，能够精准检测输出电流和负载功率大小，有效保护电源使用稳定，不会出现黑屏，闪屏现象；</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8.LED显示屏为提高显示屏色彩还原度，采用低亮高灰技术，亮度在60%时灰度≥12bit，亮度80%时灰度≥14bit，亮度100%时灰度≥16bit；</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9.LED显示屏色温1000K-10000K连续可调，可设冷色、暖色、标准等多档白场调节；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10.LED显示屏峰值功耗：≤650W/m2，平均功耗：≤217W/m2；</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12.3863</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68"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视频处理器</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1.支持≥3个窗口和≥1路OSD。</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2.支持快捷配屏和高级配屏功能。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3.支持HDMI、DVI输入分辨率自定义调节。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4.支持设备间备份设置。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5.视频输出最大带载高达≥390万像素，最大宽度≥10240像素，最大高度≥8192像素。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6.支持带载屏体亮度调节。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7.支持一键将优先级最低的窗口全屏自动缩放。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8.支持创建≥10个用户场景作为模板保存，方便使用。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9.支持选择HDMI输入源或DVI输入源作为同步信号，达到输出的场级同步。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10.前面板配备直观的LCD显示界面，清晰的按键灯提示，简化了系统的控制操作。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11.支持音频输入输出。</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配电柜</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1.额定功率：≥10kW，输出路数：≥3路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2.配电柜输入电压为交流380V±15%，或交流220V，工作频率50Hz。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3.具有过流、过压、短路、断路、过载、漏电、浪涌等保护功能。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4.内置避雷器，具有防雷冲击。</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5.含PLC模块远程控制功能，多时段定时功能、实时温度监控、电源检测、故障检测、上电断电，多台设备同时检测，具有TCP网口协议可对接中控。</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控制主机</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vMerge w:val="restar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支架及其他材料</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定制整体框架结构，不锈钢包边，具体要根据现场的尺寸及图纸来订制</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510"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二</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扩声系统</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主扩专业功放</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1.输出功率（20Hz-20KHz/THD≤1％）：立体声/并联8Ω×2：500W×2、立体声/并联4Ω×2：750W×2 、立体声/并联2Ω×2：1125W×2、桥接8Ω：≥1500W、桥接4Ω：≥2200W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 </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主扩专业音箱</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2.频响：50Hz~20KHz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3.额定功率：≥350W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4.灵敏度：≥99dB/W/M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6.高音：1.7"压缩高音单元×1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7.低音：12"低音×1</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219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后置专业功放</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1.输出功率（20Hz-20KHz/THD≤1％）：立体声/并联8Ω×2：500W×2、立体声/并联4Ω×2：750W×2 、立体声/并联2Ω×2：1125W×2、桥接8Ω：≥1500W、桥接4Ω：≥2200W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 </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后置专业音箱</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2.频响：55Hz~20KHz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4.灵敏度：≥98dB/W/M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6.高音：1.4"压缩高音单元×1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7.低音：10"低音×1</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220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整体伸缩长度：760mm~1260mm（每节增减50mm）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角度调节：170度~370度（每孔位调节10度）</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10"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221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返听专业功放</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1.输出功率（20Hz-20KHz/THD≤1％）：立体声/并联8Ω×2：500W×2、立体声/并联4Ω×2：750W×2 、立体声/并联2Ω×2：1125W×2、桥接8Ω：≥1500W、桥接4Ω：≥2200W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t>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返听专业音箱</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2.频响：60Hz~20KHz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4.灵敏度：≥98dB/W/M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6.高音：1.4"压缩高音单元×1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7.低音：8"低音×1</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222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调音台</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1.支持≥8路麦克风输入兼容6路线路输入接口，支持≥2路立体声输入接口，≥4路RCA输入，话筒接口幻象电源：+48V。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2.具有≥2组立体主输出、≥4路编组输出、≥4路辅助输出、≥1组立体声监听输出、≥1个耳机监听输出、≥2个效果输出、≥1组主混音断点插入、≥6个断点插入。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3.内置≥24位DSP效果器，提供100种预设效果。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4.具备≥13个60mm行程的高精密碳膜推子。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5.内置USB声卡模块，支持连接电脑进行音乐播放和声音录音；内置MP3播放器，支持1个USB接口接U盘播放音乐。</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223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数字音频处理器</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1.数字音频处理器支持≥8路平衡式话筒/线路输入通道，采用裸线接口端子，平衡接法；支持≥8路平衡式线路输出，采用裸线接口端子，平衡接法。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2、输入通道支持前级放大、信号发生器、扩展器、压缩器、≥5段参量均衡、AM自动混音功能、AFC自适应反馈消除、AEC回声消除、ANC噪声消除。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3.输出通道支持≥31段图示均衡器、延时器、分频器、高低通滤波器、限幅器。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4.支持24bit/48KHz的声音，支持输入通道48V幻象供电。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5.配置双向RS-232接口，可用于控制外部设备；配置RS-485接口，可实现自动摄像跟踪功能。配置≥8通道可编程GPIO控制接口（可自定义输入输出）。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6.支持断电自动保护记忆功能，联控功能。</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抑制器</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1.采用≥96KHz采样频率，32-bit DSP处理器，24-bitA/D及D/A转换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2.支持数字信号输入输出通道提供coaxial，AES及光纤接口。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3.支持≥144 x 32的LCD显示屏显示参数功能，提供≥6段LED显示输出电平；每通道≥24个LED灯显示啸叫抑制状态数量；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4.每通道支持压缩、限幅、噪声门、功能设置，可切换工作模式为直通或反馈抑制；可任意编辑固定和动态反馈点数量，可一键清除啸叫点；单机可存储≥30组用户程序。</w:t>
            </w:r>
            <w:r>
              <w:rPr>
                <w:rStyle w:val="11"/>
                <w:rFonts w:hint="eastAsia" w:ascii="宋体" w:hAnsi="宋体" w:eastAsia="宋体" w:cs="宋体"/>
                <w:b/>
                <w:bCs/>
                <w:color w:val="auto"/>
                <w:sz w:val="24"/>
                <w:szCs w:val="24"/>
              </w:rPr>
              <w:t>(需提供权威检测机构出具的检测报告复印件进行佐证)</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无线手持话筒（一拖二）</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1.频率指标：640-690MHz,740-790MHz，调制方式：宽带FM，频道数目：≥200个频道。</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2.配套有1台接收主机和2个无线手持话筒。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3.采用UHF超高频段双真分集接收，并采用PLL锁相环多信道频率合成技术。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4.接收机指标：采用自动选讯接收方式，灵敏度: ≥12dB μV（80dBS/N)，频率响应:40Hz-18KHz（±3dB）。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5.发射机指标：音头采用动圈式麦克风；手持麦克风内置螺旋天线。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6.输出功率:≤30mW。</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无线头戴话筒（一拖二）</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1.频率指标：640-690MHz,740-790MHz，调制方式：宽带FM，频道数目：≥200个频道。</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2.配套有一台主机+双头戴无线话筒。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3.采用UHF超高频段双真分集接收，并采用PLL锁相环多信道频率合成技术。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4.接收机指标：采用自动选讯接收方式，灵敏度: ≥12dB μV（80dBS/N)，频率响应:40Hz-18KHz（±3dB）。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5.发射机指标：音头采用动圈式麦克风；腰挂发射器采用1/4波长鞭状天线。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6.输出功率:≤30mW。</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无线鹅颈话筒（一拖四）</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1.采用PLL频率合成锁相环技术，微电脑集成中央处理器CPU总线控制系统。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2.兼容手动选频和红外自动对频锁定频道， 杂讯锁定静噪控制及音码锁定静噪控制。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3.V/A显示屏在任何角度观察字体清晰同时显示信道号与工作频率。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4.带≥8级射频电平显示，≥8级音频电平显示，频道菜单显示，静音显示。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5.使用640-830MHZ频段，每台接收机拥有≥200个可调频率。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6.支持平衡和非平衡两种选择输出端口。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7.包括有一台主机+四台桌面式无线麦克风</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224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话筒高频天线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1.采用UHF频段无线真分集接收机用的45度极化宽频全向天线，支持550MHz ~ 850MHz频率范围频段，具有≥8dBi的高指向特性的增益。</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2.最大功率支持≥50W，半功率波瓣宽度：H:76°±5°，V:76°±5°，前后比≥23dB，。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3.接头类型BNC，雷电保护：直流接地DC。</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225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226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三</w:t>
            </w:r>
          </w:p>
        </w:tc>
        <w:tc>
          <w:tcPr>
            <w:tcW w:w="3064"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录播系统（5机位教室）</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录播主机</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1.采用一体化硬件设 计，嵌入式操作系统，高度集成图像识别跟踪、自动导播、直播、点播、采集、录制等系统模块，易用易维护安全性超高。</w:t>
            </w:r>
            <w:r>
              <w:rPr>
                <w:rStyle w:val="11"/>
                <w:rFonts w:hint="eastAsia" w:ascii="宋体" w:hAnsi="宋体" w:eastAsia="宋体" w:cs="宋体"/>
                <w:b/>
                <w:bCs/>
                <w:color w:val="auto"/>
                <w:sz w:val="24"/>
                <w:szCs w:val="24"/>
              </w:rPr>
              <w:t>(需提供官网链接和截图进行佐证)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2.基于B/S架构，登陆web端即可实现直播管理、信号管理、分组管理、用户管理、文件管理、预约录制、中控管理以及系统管理等功能。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3.音频采用AAC高清编码方式，音视频精准同步录制。视频采用H.264编码方式，码率可调，支持视频编码256kbps～12Mbps，支持1920x1080等分辨率。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4.主机内置不小于2.2英寸LCD屏，显示系统硬盘空间、版本号和录制状态、IP地址等设备信息。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5.主机自带不少于2TB的存储空间，用于存储数据。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6.主机具备不少于3路HDMI信号输入接口、4路SDI信号输入接口，不少于2路HDMI视频输出接口，不少于4路控制接口，不少于3路USB接口，不少于1路YCBR复合信号输入口，不少于3路音频输入接口、2路音频输出接口。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7.支持通过导播软件进行手动导播，也可配合内置的自动导播模块进行全自动导播式。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单流单画面/单流多画面/多流多画面的录制方式，可实现每路输入信号分别保存为单独的文件，最多支持同时录制5路视频画面，可自定义类别进行分类录制和分类存储，支持MP4、AVI、MOV、FLV和MKV等多种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9.支持不少于三画面、四画面以及对话画面等7种画面布局，并支持不少于2种自定义画面布局，满足个性化需求。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10.支持图像点击跟踪功能，一键即可到位。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11.支持在线语音转写功能，实现将语音转写成文本并自动生成字幕。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12.支持预约录制功能，预约录制课表编辑完成后便自动按预定时间进行录制，并自动生产文件名并附带场地、主讲人和主题等信息。</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导播台</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1.LCD液晶显示，具有≥28个按键，双色按键背光，操纵杆：≥3轴+1个按键。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智能导播拍摄方式切换，支持自动、半自动和手动拍摄；支持一键启动、暂停、停止录制；支持教师特写、教师全景、学生特写、学生全景、板书、PPT画面一键切换；支持多个预置位设置和调用，每通道最多≥9个预置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3.拍摄录制画面切换，支持多种画面组合录制模式；摇杆式操控摄像机目标拍摄，支持快、慢速拍摄、变倍、变焦调节；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4.具有≥1个RJ-45(RS-458)，≥1个RS-232，≥1个USB-D通信接口，支持协议：VISCA协议，波特率：9600。</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227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教师特写摄像机</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1.高清摄像机采用高品质超长焦镜头，具备≥20倍光学变倍镜头，支持≥16倍数字变焦；采用≥1/2.8英寸、≥207万有效像素的高品质HD CMOS传感器。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2.镜头焦距f4.42mm ~ 88.5mm, 光圈系数F1.8 ~ F2.8。</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3.支持1080P60/50/30/25/59.94/29.97；1080I60/50/59.94；720P60/50/30/25/59.94/29.97分辨率，支持输出帧率≥60帧/秒。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4.具备≥1路HDMI和≥1路3G-SDI高清视频输出接口、支持CVBS标清输出，支持HDMI、SDI、网络≥三路可同时输出。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5.支持TCP/IP, HTTP, RTSP, RTMP, Onvif, DHCP, GB/T2818组播等协议。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6.支持RS232串口远程对摄像机进行控制（带环通RS-232输出），支持VISCA、PELCO-D、PELCO-P协议。支持多达≥255个预置位。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7.水平视场角：60.7° ~ 3.36°；支持水平转动范围：-170°～+170°，垂直转动范围：-30°～+90°，水平转动速度范围：1.7° ~ 100°/s ，垂直转动速度范围：1.7° ~ 69.9°/s。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8.采用2D、3D降噪技术，图像信噪比≥55dB；支持AAC音频编码。</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228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学生特写摄像机</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1.高清摄像机采用高品质超长焦镜头，具备≥20倍光学变倍镜头，支持≥16倍数字变焦；采用≥1/2.8英寸、≥207万有效像素的高品质HD CMOS传感器。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2.镜头焦距f4.42mm ~ 88.5mm, 光圈系数F1.8 ~ F2.8。</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3.支持1080P60/50/30/25/59.94/29.97；1080I60/50/59.94；720P60/50/30/25/59.94/29.97分辨率，支持输出帧率≥60帧/秒。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4.具备≥1路HDMI和≥1路3G-SDI高清视频输出接口、支持CVBS标清输出，支持HDMI、SDI、网络≥三路可同时输出。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5.支持TCP/IP, HTTP, RTSP, RTMP, Onvif, DHCP, GB/T2818组播等协议。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6.支持RS232串口远程对摄像机进行控制（带环通RS-232输出），支持VISCA、PELCO-D、PELCO-P协议。支持多达≥255个预置位。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7.水平视场角：60.7° ~ 3.36°；支持水平转动范围：-170°～+170°，垂直转动范围：-30°～+90°，水平转动速度范围：1.7° ~ 100°/s ，垂直转动速度范围：1.7° ~ 69.9°/s。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8.采用2D、3D降噪技术，图像信噪比≥55dB；支持AAC音频编码。</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229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板书特写摄像机</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1.高清摄像机采用高品质超长焦镜头，具备≥20倍光学变倍镜头，支持≥16倍数字变焦；采用≥1/2.8英寸、≥207万有效像素的高品质HD CMOS传感器。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2.镜头焦距f4.42mm ~ 88.5mm, 光圈系数F1.8 ~ F2.8。</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3.支持1080P60/50/30/25/59.94/29.97；1080I60/50/59.94；720P60/50/30/25/59.94/29.97分辨率，支持输出帧率≥60帧/秒。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4.具备≥1路HDMI和≥1路3G-SDI高清视频输出接口、支持CVBS标清输出，支持HDMI、SDI、网络≥三路可同时输出。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5.支持TCP/IP, HTTP, RTSP, RTMP, Onvif, DHCP, GB/T2818组播等协议。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6.支持RS232串口远程对摄像机进行控制（带环通RS-232输出），支持VISCA、PELCO-D、PELCO-P协议。支持多达≥255个预置位。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7.水平视场角：60.7° ~ 3.36°；支持水平转动范围：-170°～+170°，垂直转动范围：-30°～+90°，水平转动速度范围：1.7° ~ 100°/s ，垂直转动速度范围：1.7° ~ 69.9°/s。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8.采用2D、3D降噪技术，图像信噪比≥55dB；支持AAC音频编码。</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230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讲师4K双景摄像机</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1.配置4K Sensor和4K镜头，实现高清电子云台效果。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2.内置图像识别和跟踪算法。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3.全自动对焦无畸变镜头，广角视场高达≥46°。同时支持EPTZ。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4.全新CMOS图像传感器可降低在低照度情况下的图像噪声，同时应用2D和3D降噪算法，图像信噪比高达55dB以上。</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5.支持3G-SDI接口，有效传输距离最高长达≥150米（1080p30）。SDI、网络≥两路可同时输出。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6.支持POE（Power Over Ethernet）一 线通功能，电源、视频、音频、控制三线合一。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7.支持交织模式，可实现单摄像头同时输出全景和特写信号，实现一机双镜效果。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8.最高支持≥3840x2160@30fps分辨率编码网络流输出，并向下兼容。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9.≥1/2.5英寸CMOS, 有效像素≥851万，扫描方式：逐行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10.镜头：焦距: f=≥7.35mm, 水平视场角: ≥46°。</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231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学员4K双景摄像机</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1.配置4K Sensor和4K镜头，实现高清电子云台效果。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2.内置图像识别和跟踪算法支持≥8个的屏蔽区域。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3.全自动对焦无畸变镜头，广角视场高达≥120°。同时支持EPTZ。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4.CMOS图像传感器可有效降低在低照度情况下的图像噪声，同时应用2D和3D降噪算法，图像信噪比高达≥55dB。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5.支持3G-SDI接口，有效传输距离最高长达≥150米（1080p30）。SDI、网络≥两路可同时输出。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6.支持POE（Power Over Ethernet）一 线通功能，电源、视频、音频、控制三线合一。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7.支持交织模式，可实现单摄像头同时输出全景和特写信号，实现一机双镜效果。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8.最高支持3840x2160@30fps分辨率编码网络流输出，并向下兼容。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9.≥1/2.5英寸CMOS, 有效像素≥851万，扫描方式：逐行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10.镜头：焦距: f=≥3.5mm, 水平视场角:≥84°。</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232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全向麦</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1.采用全指向型电容咪头，灵敏度等于或优于-32dB，频率响应：100Hz～16KHz，输出阻抗：250Ω±30%。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2.最大承受声压≥139dB声压，1KHz于1%T.H.D；信噪比≥65dB，拾音距离≥6米。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3.输出连接器：外置式3针卡侬公头XLR-3-12C，支持嵌入式安装，支持48V幻象供电。</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233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四</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分布式会场环境集中控制系统</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拼接中控</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1.采用嵌入式硬件架构。采用内嵌式处理器，处理速度最高可达528MHz，内存不低于256MDDR3RAM，128MNANDFlash。</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2.具备100Mbps标准RJ45网络接口，支持本地及远程多样控制方式，可实现全网络控制。支持分布式部署架构，可根据需求无限扩展接口。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3.支持可编程控制平台，交互式的控制结构，可进行多设备间智能联动。支持B/S架构，支持IOS、安卓等操作系统的PC、移动平台对分布式系统的管控。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4.具备≥8路独立可编程串口，可双向传输RS232，RS485及RS422信号；具备≥8路数字I/0输入输出控制口，具备8路弱电继电器接口。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5.具备≥4路独立可编程IR红外发射口，可调发射功率；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6.内嵌智能红外学习功能模块，具备≥1个红外接收口，可支持红外遥控学习。</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分布式中控系统逻辑处理软件</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1.用于分布式中央控制系统主机设备，实现系统控制逻辑、处理等功能。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2.主要包括硬件逻辑模块、软件逻辑模块、红外代码管理、编译、监视等。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3.编程软件支持添加与实际工程对应硬件的逻辑模块。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4.实现串口代码数据、IR红外数据、继电器、I/O数据等的代码转发、逻辑算法处理等编程功能。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5.支持界面设 计软件实现中控控制界面的制作及编辑。</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234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五</w:t>
            </w:r>
          </w:p>
        </w:tc>
        <w:tc>
          <w:tcPr>
            <w:tcW w:w="3064"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矩阵切换系统及视频切换系统</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分布式采集盒</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1.视频编码处理器，要求支持高性能的H.265视频编码，能够实现不同分辨率视频的自适应采集及视频编码，分辨率≥1080P。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2.支持≥1路HDMI视频输入接口、≥1路HDMI视频环出接口、≥1路3.5mm音频输入接口、≥1路RJ45网口。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3.支持采用POE供电，也支持通过电源适配器进行供电，采用低功耗设 计，功耗＜8W。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4.自带一键复位动态IP功能，支持固件升级。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5.支持≥1路USB接口，支持KVM功能，支持控制电脑、大屏的视频窗口切换等功能；支持鼠标漫游跨屏功能。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6.支持中控功能，具有≥1×RS-485接口、≥1×RS-232接口、≥2×I/O口、≥1×IR IN、≥1×IR OUT；支持自定义配置。</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235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分布式输出盒</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1.分辨率：1080P30帧、1080P60帧，编解码能力：支持H.265视频编码、AAC-LC音频编码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2.POE供电最大仅≤7W；良好散热静音无风扇设 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3.采用H.265视频解码技术，兼容H.264视频解码，支持高清视频信号≥1080P60帧输出。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4.支持对解码后的视频进行缩放、切割、拼接、叠加、同步及显示等处理。支持1×1、2×2、3×3等布局方式，支持手动自定义输入行、列数。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5.支持画面分割功能，单屏输出视频窗口可达≥16路，视频效果可达≥1080P30帧。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6.支持AAC-LC音频编解码。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7.具备中控功能，支持RS-232、RS-485、I/O口、红外信号的输入和输出信号，可自定义配置。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8.视频接口：≥1×HDMI、≥1×VGA，音频接口：≥1×3.5mm立体声音频输出，USB接口：≥2×USB（KVM接口），网口：≥1×RJ45，10/100/1000Base-T，支持POE，串口：≥1×RS-485、≥1×RS-232，红外：≥1×IR IN、≥1×IR OUT，I/O口：≥2×I/O口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9.盒子自带一键复位动态IP功能。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10.支持≥1路HDMI视频接口和≥1路VGA视频接口输出，具备3.5mm音频输出接口，支持HDMI音频输出，支持音视频同步传输。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11.支持KVM坐席管理功能，通过指令调出信号管理界面进行KVM坐席信号切换，一套键盘鼠标对多显示器实现操作，简洁桌面环境。支持KVM坐席多屏间鼠标漫游功能，支持KVM坐席单屏多画面鼠标漫游功能。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12.支持KVM功能，支持控制电脑、大屏的视频窗口切换等功能；支持鼠标漫游跨屏功能；可实现跨平台操作，包括Windows、linux、Mac等系统平台。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13.KVM坐席管理可实现信息实时抓取，支持通过一套键盘的热键，坐席人员可以将任意显示器或大屏信息抓取至本地显示器，也可以将本地显示器的信息推送至任意显示器或大屏。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14.支持字幕功能，可改变字体颜色、字体大小、位置等，并显示在视频层上面；支持图标功能。</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236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无缝高清矩阵切换器</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1.矩阵采用纯硬件标准化机箱设 计，支持配置≥16×16路信号切换，支持HDMI、DVI、VGA、SDI、HDBaseT、光纤的任意输入/输出信号卡，其中DVI输入卡兼容CVBS，YUV,S-VIDEO信号，VGA输入/输出卡均兼容CVBS，YUV,S-VIDEO。</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2.采用板卡模块化设 计，支持接入≥4块输入卡、≥4块输出卡、≥1块控制卡；通过配置各类相同或不同的输入输出卡可以组成单一接口类型或多接口类型的矩阵，如HDMI矩阵，DVI矩阵，VGA矩阵，YUV矩阵，Video矩阵等。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3.支持无缝切换功能，切换过程无黑屏信号。</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4.支持≥1080P分辨率，最大可支持≥4Kx2K。支持断电记忆功能。支持智能温控，控制矩阵风扇的运行；系统内可存储多组预切换指令，调用时可以一键切换。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5.支持模拟音频与HDMI内嵌音频选择输入、支持模拟音频与HDMI内嵌音频同时输出。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6.支持接入≥1块控制板卡，具有≥1路RS-232,1路RS-485,≥1路TCP/IP端口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7.HDBaseT输入输出信号支持双向 RS-232 和双向 IR 信号传输，可对RS-232和IR 信号选择随视频信号切换，或分离切换模式，支持扩展POC模块对外设供电。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8.支持KVM坐席管理功能，通过一套键盘鼠标显示器切换、管理多台计算机设备。</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HDMI无缝高清输入卡</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1.支持常规分辨率输入，最高分辨率可达≥1080P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2.支持无缝切换功能，切换过程无黑屏信号。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3.控制方式灵活，具有RS-232、RS-485、手机APP、≥1个网口网页控制方式，并且支持通过远端的HDBaseT/光纤的KVM键盘控制矩阵切换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4.支持断电记忆功能，免除上电重复设置动作，支持热拔插。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5.支持音视频信号同步切换，切换响应速度快。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6.支持模拟音频与HDMI内嵌音频选择输入，也支持音频单独传输。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7.支持EDID管理，可选默认EDID或者现场可学习。</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237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HDMI无缝高清输出卡</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1.支持常规分辨率输入，最高分辨率可达≥1080P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2.支持无缝切换功能，切换过程无黑屏信号。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3.控制方式灵活，具有RS-232、RS-485、手机APP、≥1个网口网页控制方式，并且支持通过远端的HDBaseT/光纤的KVM键盘控制矩阵切换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4.支持断电记忆功能，免除上电重复设置动作，支持热拔插。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5.支持音视频信号同步切换，切换响应速度快。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6.支持模拟音频与HDMI内嵌音频选择输入，也支持音频单独传输。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7.支持EDID管理，可选默认EDID或者现场可学习。</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238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六</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其他材料</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19英寸标准机柜（42U）</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42U机柜，采用冷轧钢板，H2000mm*W600mm*D600mm、立柱≥2.0mm 框架≥1.5mm 门板≥1.2mm（含PDU电源插排≥1，固定板部件≥3,风扇≥2,重型脚轮≥4，M12支脚≥4，M6方螺母螺钉≥40）。</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239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68" w:type="pc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液晶电视电子班牌</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1.支持展示班级信息、日常信息、倒计时事件信息、学校通知公告、课表安排、考勤签到记录等，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2.处理器配置不低于1.8GHz，内存不低于2G，存储器不低于16GB。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3.显示屏≥21.5英寸LED光源,分辨率≥1920x1080 亮度≥350cd/m2；G+G电容屏，支持10点触摸，响应速度≤10ms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4.前置500万高清防曝光摄像头，支持人脸识别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5.支持WiFi，802.11b/g/n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6.内置读卡器，支持Mifare1 /typea/14443a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7.支持定时开关机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8.支持wmv、avi、flv、rm、rmvb、mpeg 、ts、mp4等视频格式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9.USB2.0≥2个，HDMI≥1个,RJ45≥1个，DC12V≥2个 耳机口≥1个，TF卡槽（最高支持≥128GB TF卡）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10.采用超薄机身设 计，要求厚度≤19.5mm</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68"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可移动讲台</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移动多媒体钢制讲台，含多媒体控制器，≥1050mm*≥730mm*≥1000mm</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68"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可移动讲台主机</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68"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讲台单主机</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主机主频≥3.7GHz，内存≥8G DDR4，硬盘≥256G SSD。</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6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接入交换机（24口）</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1.提供10/100/1000MBase-T端口数≥24，提供非复用的千兆SFP光插槽≥4；交换容量≥256Gbps，包转发率≥96Mpps；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多媒体地插</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配置接口：≥1个多功能电源接口、≥2个RJ45网络、≥1个3.5音频、≥1个HDMI高清视频接口、≥一个功能按键。</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vMerge w:val="restart"/>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音频跳线：6.35mm大单芯-三芯卡侬头（公）(≥1.8m)</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510" w:type="pct"/>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音频跳线：三芯卡侬头（母）-三芯卡侬头（公）(≥1.8m)</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510" w:type="pct"/>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音频跳线：3.5mm接线头-6.35mm大单芯(≥3m)</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510" w:type="pct"/>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音频跳线：3.5mm接线头-双6.35mm大单芯(≥3m)</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 支持≥2K*4K，60HZ 支持2.0版本，长度≥5m</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510" w:type="pct"/>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≥40米以上带信号放大器</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510" w:type="pct"/>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符合国标，管径≥25mm,壁厚≥1.0mm含固定卡扣、弯头、镙栓等</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270</w:t>
            </w:r>
          </w:p>
        </w:tc>
        <w:tc>
          <w:tcPr>
            <w:tcW w:w="510" w:type="pct"/>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2.线缆外径：5.1±0.5mm；绝缘层：≥0.2mm；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5.安装温度：零下30至50°C；工作温度：0~至50°C。</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102</w:t>
            </w:r>
          </w:p>
        </w:tc>
        <w:tc>
          <w:tcPr>
            <w:tcW w:w="51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符合国标，1*HDMI高清视频线</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156</w:t>
            </w:r>
          </w:p>
        </w:tc>
        <w:tc>
          <w:tcPr>
            <w:tcW w:w="510" w:type="pct"/>
            <w:vMerge w:val="restart"/>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EVJV双绞音响线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符合国标，EVJV2*≥2.5mm</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150</w:t>
            </w:r>
          </w:p>
        </w:tc>
        <w:tc>
          <w:tcPr>
            <w:tcW w:w="510" w:type="pct"/>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18</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三芯多股铜芯护套线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符合国标，RVV3*≥2.5mm</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36</w:t>
            </w:r>
          </w:p>
        </w:tc>
        <w:tc>
          <w:tcPr>
            <w:tcW w:w="510" w:type="pct"/>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8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19</w:t>
            </w:r>
          </w:p>
        </w:tc>
        <w:tc>
          <w:tcPr>
            <w:tcW w:w="8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6"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音频跳线：RCA莲花-RCA莲花(≥10m)</w:t>
            </w:r>
          </w:p>
        </w:tc>
        <w:tc>
          <w:tcPr>
            <w:tcW w:w="34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04" w:type="pc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510" w:type="pct"/>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4"/>
          <w:szCs w:val="24"/>
          <w:shd w:val="clear" w:fill="FFFFFF"/>
        </w:rPr>
        <w:t>7、120人阶梯教室清单</w:t>
      </w:r>
    </w:p>
    <w:tbl>
      <w:tblPr>
        <w:tblStyle w:val="9"/>
        <w:tblW w:w="5116"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16"/>
        <w:gridCol w:w="1561"/>
        <w:gridCol w:w="3855"/>
        <w:gridCol w:w="615"/>
        <w:gridCol w:w="1251"/>
        <w:gridCol w:w="71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序号</w:t>
            </w:r>
          </w:p>
        </w:tc>
        <w:tc>
          <w:tcPr>
            <w:tcW w:w="885"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货物名 称</w:t>
            </w:r>
          </w:p>
        </w:tc>
        <w:tc>
          <w:tcPr>
            <w:tcW w:w="2187"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参数规格</w:t>
            </w:r>
          </w:p>
        </w:tc>
        <w:tc>
          <w:tcPr>
            <w:tcW w:w="349"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单位</w:t>
            </w:r>
          </w:p>
        </w:tc>
        <w:tc>
          <w:tcPr>
            <w:tcW w:w="709"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数量</w:t>
            </w:r>
          </w:p>
        </w:tc>
        <w:tc>
          <w:tcPr>
            <w:tcW w:w="404"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技术评分项号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一</w:t>
            </w:r>
          </w:p>
        </w:tc>
        <w:tc>
          <w:tcPr>
            <w:tcW w:w="885" w:type="pct"/>
            <w:tcBorders>
              <w:top w:val="nil"/>
              <w:left w:val="nil"/>
              <w:bottom w:val="nil"/>
              <w:right w:val="nil"/>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187" w:type="pct"/>
            <w:tcBorders>
              <w:top w:val="nil"/>
              <w:left w:val="nil"/>
              <w:bottom w:val="nil"/>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885" w:type="pct"/>
            <w:tcBorders>
              <w:top w:val="single" w:color="000000" w:sz="6" w:space="0"/>
              <w:left w:val="nil"/>
              <w:bottom w:val="nil"/>
              <w:right w:val="nil"/>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LED大屏系统  5.376m*2.304m=12.3863m2</w:t>
            </w:r>
          </w:p>
        </w:tc>
        <w:tc>
          <w:tcPr>
            <w:tcW w:w="2187"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5"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shd w:val="clear" w:fill="FFFF00"/>
              </w:rPr>
              <w:t>室内LED全彩显示屏P2.0（核心产品）</w:t>
            </w:r>
          </w:p>
        </w:tc>
        <w:tc>
          <w:tcPr>
            <w:tcW w:w="2187"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1.LED显示屏灯珠选用表贴三合一铜线封装，LED封装形式：SMD1515黑灯。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2.LED显示屏单个像素由1R1G1B构成，LED显示屏单个模组尺寸256mm*128mm，模组重量≤0.255kg，模组平整度≤0.2mm；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3.LED显示屏采用≤2.0mm点间距，像素点密度≥250000点/m2；LED显示屏像素中心距相对偏差≤1%；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4.LED显示屏采用磁吸前维护，可正面拆卸模组、接收卡、电源，支持模组、接收卡等低压器件多次带电热插拔测试后都能正常工作；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5.LED显示屏PCB板表面具备防潮/防尘/防静电/抗氧化等能力，支持共阳方案和共阴方案的兼容性设 计，可匹配相应LED、IC做共阳、共阴产品，多层电路板沉金工艺设 计，同时具有独特的消隐、节能处理、EMC处理、智能模组存储处理功能电路；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6.具有过流、短路、过压、欠压的保护功能；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7.LED显示屏电源输入端使用电压比较器检测输入电压大小，输出端运用工业级高精度运放电路检测输出负载，能够精准检测输出电流和负载功率大小，有效保护电源使用稳定，不会出现黑屏，闪屏现象；</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8.LED显示屏为提高显示屏色彩还原度，采用低亮高灰技术，亮度在60%时灰度≥12bit，亮度80%时灰度≥14bit，亮度100%时灰度≥16bit；</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9.LED显示屏色温1000K-10000K连续可调，可设冷色、暖色、标准等多档白场调节；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10.LED显示屏峰值功耗：≤650W/m2，平均功耗：≤217W/m2；</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12.3863</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5"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视频处理器</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1.支持≥3个窗口和≥1路OSD。</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2.支持快捷配屏和高级配屏功能。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3.支持HDMI、DVI输入分辨率自定义调节。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4.支持设备间备份设置。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5.视频输出最大带载高达≥390万像素，最大宽度≥10240像素，最大高度≥8192像素。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6.支持带载屏体亮度调节。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7.支持一键将优先级最低的窗口全屏自动缩放。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8.支持创建≥10个用户场景作为模板保存，方便使用。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9.支持选择HDMI输入源或DVI输入源作为同步信号，达到输出的场级同步。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10.前面板配备直观的LCD显示界面，清晰的按键灯提示，简化了系统的控制操作。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11.支持音频输入输出。</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85"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配电柜</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1.额定功率：≥10kW，输出路数：≥3路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2.配电柜输入电压为交流380V±15%，或交流220V，工作频率50Hz。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3.具有过流、过压、短路、断路、过载、漏电、浪涌等保护功能。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4.内置避雷器，具有防雷冲击。</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5.含PLC模块远程控制功能，多时段定时功能、实时温度监控、电源检测、故障检测、上电断电，多台设备同时检测，具有TCP网口协议可对接中控。</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249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控制主机</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vMerge w:val="restar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250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支架及其他材料</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定制整体框架结构，不锈钢包边，具体要根据现场的尺寸及图纸来订制</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二</w:t>
            </w:r>
          </w:p>
        </w:tc>
        <w:tc>
          <w:tcPr>
            <w:tcW w:w="3073"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扩声系统</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主扩专业功放</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1.输出功率（20Hz-20KHz/THD≤1％）：立体声/并联8Ω×2：500W×2、立体声/并联4Ω×2：750W×2 、立体声/并联2Ω×2：1125W×2、桥接8Ω：≥1500W、桥接4Ω：≥2200W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t>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主扩专业音箱</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2.频响：50Hz~20KHz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3.额定功率：≥350W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4.灵敏度：≥99dB/W/M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6.高音：1.7"压缩高音单元×1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7.低音：12"低音×1</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251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后置专业功放</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1.输出功率（20Hz-20KHz/THD≤1％）：立体声/并联8Ω×2：500W×2、立体声/并联4Ω×2：750W×2 、立体声/并联2Ω×2：1125W×2、桥接8Ω：≥1500W、桥接4Ω：≥2200W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 </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后置专业音箱</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2.频响：55Hz~20KHz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4.灵敏度：≥98dB/W/M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6.高音：1.4"压缩高音单元×1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7.低音：10"低音×1</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252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整体伸缩长度：760mm~1260mm（每节增减50mm）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角度调节：170度~370度（每孔位调节10度）</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253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返听专业功放</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1.输出功率（20Hz-20KHz/THD≤1％）：立体声/并联8Ω×2：500W×2、立体声/并联4Ω×2：750W×2 、立体声/并联2Ω×2：1125W×2、桥接8Ω：≥1500W、桥接4Ω：≥2200W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 </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返听专业音箱</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2.频响：60Hz~20KHz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4.灵敏度：≥98dB/W/M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6.高音：1.4"压缩高音单元×1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7.低音：8"低音×1</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254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调音台</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1.支持≥8路麦克风输入兼容6路线路输入接口，支持≥2路立体声输入接口，≥4路RCA输入，话筒接口幻象电源：+48V。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2.具有≥2组立体主输出、≥4路编组输出、≥4路辅助输出、≥1组立体声监听输出、≥1个耳机监听输出、≥2个效果输出、≥1组主混音断点插入、≥6个断点插入。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3.内置≥24位DSP效果器，提供100种预设效果。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4.具备≥13个60mm行程的高精密碳膜推子。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5.内置USB声卡模块，支持连接电脑进行音乐播放和声音录音；内置MP3播放器，支持1个USB接口接U盘播放音乐。</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255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数字音频处理器</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1.数字音频处理器支持≥8路平衡式话筒/线路输入通道，采用裸线接口端子，平衡接法；支持≥8路平衡式线路输出，采用裸线接口端子，平衡接法。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2、输入通道支持前级放大、信号发生器、扩展器、压缩器、≥5段参量均衡、AM自动混音功能、AFC自适应反馈消除、AEC回声消除、ANC噪声消除。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3.输出通道支持≥31段图示均衡器、延时器、分频器、高低通滤波器、限幅器。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4.支持24bit/48KHz的声音，支持输入通道48V幻象供电。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5.配置双向RS-232接口，可用于控制外部设备；配置RS-485接口，可实现自动摄像跟踪功能。配置≥8通道可编程GPIO控制接口（可自定义输入输出）。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6.支持断电自动保护记忆功能，联控功能。</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抑制器</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1.采用≥96KHz采样频率，32-bit DSP处理器，24-bitA/D及D/A转换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2.支持数字信号输入输出通道提供coaxial，AES及光纤接口。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3.支持≥144 x 32的LCD显示屏显示参数功能，提供≥6段LED显示输出电平；每通道≥24个LED灯显示啸叫抑制状态数量；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4.每通道支持压缩、限幅、噪声门、功能设置，可切换工作模式为直通或反馈抑制；可任意编辑固定和动态反馈点数量，可一键清除啸叫点；单机可存储≥30组用户程序。</w:t>
            </w:r>
            <w:r>
              <w:rPr>
                <w:rStyle w:val="11"/>
                <w:rFonts w:hint="eastAsia" w:ascii="宋体" w:hAnsi="宋体" w:eastAsia="宋体" w:cs="宋体"/>
                <w:b/>
                <w:bCs/>
                <w:color w:val="auto"/>
                <w:sz w:val="24"/>
                <w:szCs w:val="24"/>
              </w:rPr>
              <w:t>(需提供权威检测机构出具的检测报告复印件进行佐证)</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无线手持话筒（一拖二）</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1.频率指标：640-690MHz,740-790MHz，调制方式：宽带FM，频道数目：≥200个频道。</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2.配套有1台接收主机和2个无线手持话筒。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3.采用UHF超高频段双真分集接收，并采用PLL锁相环多信道频率合成技术。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4.接收机指标：采用自动选讯接收方式，灵敏度: ≥12dB μV（80dBS/N)，频率响应:40Hz-18KHz（±3dB）。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5.发射机指标：音头采用动圈式麦克风；手持麦克风内置螺旋天线。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6.输出功率:≤30mW。</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无线头戴话筒（一拖二）</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1.频率指标：640-690MHz,740-790MHz，调制方式：宽带FM，频道数目：≥200个频道。</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2.配套有一台主机+双头戴无线话筒。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3.采用UHF超高频段双真分集接收，并采用PLL锁相环多信道频率合成技术。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4.接收机指标：采用自动选讯接收方式，灵敏度: ≥12dB μV（80dBS/N)，频率响应:40Hz-18KHz（±3dB）。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5.发射机指标：音头采用动圈式麦克风；腰挂发射器采用1/4波长鞭状天线。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6.输出功率:≤30mW。</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无线鹅颈话筒（一拖四）</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1.采用PLL频率合成锁相环技术，微电脑集成中央处理器CPU总线控制系统。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2.兼容手动选频和红外自动对频锁定频道， 杂讯锁定静噪控制及音码锁定静噪控制。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3.V/A显示屏在任何角度观察字体清晰同时显示信道号与工作频率。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4.带≥8级射频电平显示，≥8级音频电平显示，频道菜单显示，静音显示。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5.使用640-830MHZ频段，每台接收机拥有≥200个可调频率。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6.支持平衡和非平衡两种选择输出端口。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7.包括有一台主机+四台桌面式无线麦克风</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256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话筒高频天线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1.采用UHF频段无线真分集接收机用的45度极化宽频全向天线，支持550MHz ~ 850MHz频率范围频段，具有≥8dBi的高指向特性的增益。</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2.最大功率支持≥50W，半功率波瓣宽度：H:76°±5°，V:76°±5°，前后比≥23dB，。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3.接头类型BNC，雷电保护：直流接地DC。</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257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258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三</w:t>
            </w:r>
          </w:p>
        </w:tc>
        <w:tc>
          <w:tcPr>
            <w:tcW w:w="3073"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录播系统（3机位教室）</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录播主机</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1.采用一体化硬件设 计，嵌入式操作系统，高度集成图像识别跟踪、自动导播、直播、点播、采集、录制等系统模块，易用易维护安全性超高。</w:t>
            </w:r>
            <w:r>
              <w:rPr>
                <w:rStyle w:val="11"/>
                <w:rFonts w:hint="eastAsia" w:ascii="宋体" w:hAnsi="宋体" w:eastAsia="宋体" w:cs="宋体"/>
                <w:b/>
                <w:bCs/>
                <w:color w:val="auto"/>
                <w:sz w:val="24"/>
                <w:szCs w:val="24"/>
              </w:rPr>
              <w:t>(需提供官网链接和截图进行佐证)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2.基于B/S架构，登陆web端即可实现直播管理、信号管理、分组管理、用户管理、文件管理、预约录制、中控管理以及系统管理等功能。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3.音频采用AAC高清编码方式，音视频精准同步录制。视频采用H.264编码方式，码率可调，支持视频编码256kbps～12Mbps，支持1920x1080等分辨率。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4.主机内置不小于2.2英寸LCD屏，显示系统硬盘空间、版本号和录制状态、IP地址等设备信息。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5.主机自带不少于2TB的存储空间，用于存储数据。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6.主机具备不少于3路HDMI信号输入接口、4路SDI信号输入接口，不少于2路HDMI视频输出接口，不少于4路控制接口，不少于3路USB接口，不少于1路YCBR复合信号输入口，不少于3路音频输入接口、2路音频输出接口。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7.支持通过导播软件进行手动导播，也可配合内置的自动导播模块进行全自动导播式。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单流单画面/单流多画面/多流多画面的录制方式，可实现每路输入信号分别保存为单独的文件，最多支持同时录制5路视频画面，可自定义类别进行分类录制和分类存储，支持MP4、AVI、MOV、FLV和MKV等多种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9.支持不少于三画面、四画面以及对话画面等7种画面布局，并支持不少于2种自定义画面布局，满足个性化需求。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10.支持图像点击跟踪功能，一键即可到位。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11.支持在线语音转写功能，实现将语音转写成文本并自动生成字幕。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12.支持预约录制功能，预约录制课表编辑完成后便自动按预定时间进行录制，并自动生产文件名并附带场地、主讲人和主题等信息。</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导播台</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1.LCD液晶显示，具有≥28个按键，双色按键背光，操纵杆：≥3轴+1个按键。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智能导播拍摄方式切换，支持自动、半自动和手动拍摄；支持一键启动、暂停、停止录制；支持教师特写、教师全景、学生特写、学生全景、板书、PPT画面一键切换；支持多个预置位设置和调用，每通道最多≥9个预置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3.拍摄录制画面切换，支持多种画面组合录制模式；摇杆式操控摄像机目标拍摄，支持快、慢速拍摄、变倍、变焦调节；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4.具有≥1个RJ-45(RS-458)，≥1个RS-232，≥1个USB-D通信接口，支持协议：VISCA协议，波特率：9600。</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259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教师特写摄像机</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1.高清摄像机采用高品质超长焦镜头，具备≥20倍光学变倍镜头，支持≥16倍数字变焦；采用≥1/2.8英寸、≥207万有效像素的高品质HD CMOS传感器。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2.镜头焦距f4.42mm ~ 88.5mm, 光圈系数F1.8 ~ F2.8。</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3.支持1080P60/50/30/25/59.94/29.97；1080I60/50/59.94；720P60/50/30/25/59.94/29.97分辨率，支持输出帧率≥60帧/秒。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4.具备≥1路HDMI和≥1路3G-SDI高清视频输出接口、支持CVBS标清输出，支持HDMI、SDI、网络≥三路可同时输出。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5.支持TCP/IP, HTTP, RTSP, RTMP, Onvif, DHCP, GB/T2818组播等协议。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6.支持RS232串口远程对摄像机进行控制（带环通RS-232输出），支持VISCA、PELCO-D、PELCO-P协议。支持多达≥255个预置位。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7.水平视场角：60.7° ~ 3.36°；支持水平转动范围：-170°～+170°，垂直转动范围：-30°～+90°，水平转动速度范围：1.7° ~ 100°/s ，垂直转动速度范围：1.7° ~ 69.9°/s。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8.采用2D、3D降噪技术，图像信噪比≥55dB；支持AAC音频编码。</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260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讲师4K双景摄像机</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1.配置4K Sensor和4K镜头，实现高清电子云台效果。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2.内置图像识别和跟踪算法。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3.全自动对焦无畸变镜头，广角视场高达≥46°。同时支持EPTZ。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4.全新CMOS图像传感器可降低在低照度情况下的图像噪声，同时应用2D和3D降噪算法，图像信噪比高达55dB以上。</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5.支持3G-SDI接口，有效传输距离最高长达≥150米（1080p30）。SDI、网络≥两路可同时输出。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6.支持POE（Power Over Ethernet）一 线通功能，电源、视频、音频、控制三线合一。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7.支持交织模式，可实现单摄像头同时输出全景和特写信号，实现一机双镜效果。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8.最高支持≥3840x2160@30fps分辨率编码网络流输出，并向下兼容。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9.≥1/2.5英寸CMOS, 有效像素≥851万，扫描方式：逐行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10.镜头：焦距: f=≥7.35mm, 水平视场角: ≥46°。</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261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学员4K双景摄像机</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1.配置4K Sensor和4K镜头，实现高清电子云台效果。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2.内置图像识别和跟踪算法支持≥8个的屏蔽区域。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3.全自动对焦无畸变镜头，广角视场高达≥120°。同时支持EPTZ。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4.CMOS图像传感器可有效降低在低照度情况下的图像噪声，同时应用2D和3D降噪算法，图像信噪比高达≥55dB。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5.支持3G-SDI接口，有效传输距离最高长达≥150米（1080p30）。SDI、网络≥两路可同时输出。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6.支持POE（Power Over Ethernet）一 线通功能，电源、视频、音频、控制三线合一。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7.支持交织模式，可实现单摄像头同时输出全景和特写信号，实现一机双镜效果。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8.最高支持3840x2160@30fps分辨率编码网络流输出，并向下兼容。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9.≥1/2.5英寸CMOS, 有效像素≥851万，扫描方式：逐行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10.镜头：焦距: f=≥3.5mm, 水平视场角:≥84°。</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262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四</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分布式会场环境集中控制系统</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拼接中控</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1.采用嵌入式硬件架构。采用内嵌式处理器，处理速度最高可达528MHz，内存不低于256MDDR3RAM，128MNANDFlash。</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2.具备100Mbps标准RJ45网络接口，支持本地及远程多样控制方式，可实现全网络控制。支持分布式部署架构，可根据需求无限扩展接口。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3.支持可编程控制平台，交互式的控制结构，可进行多设备间智能联动。支持B/S架构，支持IOS、安卓等操作系统的PC、移动平台对分布式系统的管控。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4.具备≥8路独立可编程串口，可双向传输RS232，RS485及RS422信号；具备≥8路数字I/0输入输出控制口，具备8路弱电继电器接口。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5.具备≥4路独立可编程IR红外发射口，可调发射功率；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6.内嵌智能红外学习功能模块，具备≥1个红外接收口，可支持红外遥控学习。</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五</w:t>
            </w:r>
          </w:p>
        </w:tc>
        <w:tc>
          <w:tcPr>
            <w:tcW w:w="3073"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矩阵切换系统及视频切换系统</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分布式采集盒</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1.视频编码处理器，要求支持高性能的H.265视频编码，能够实现不同分辨率视频的自适应采集及视频编码，分辨率≥1080P。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2.支持≥1路HDMI视频输入接口、≥1路HDMI视频环出接口、≥1路3.5mm音频输入接口、≥1路RJ45网口。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3.支持采用POE供电，也支持通过电源适配器进行供电，采用低功耗设 计，功耗＜8W。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4.自带一键复位动态IP功能，支持固件升级。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5.支持≥1路USB接口，支持KVM功能，支持控制电脑、大屏的视频窗口切换等功能；支持鼠标漫游跨屏功能。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6.支持中控功能，具有≥1×RS-485接口、≥1×RS-232接口、≥2×I/O口、≥1×IR IN、≥1×IR OUT；支持自定义配置。</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263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分布式输出盒</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1.分辨率：1080P30帧、1080P60帧，编解码能力：支持H.265视频编码、AAC-LC音频编码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2.POE供电最大仅≤7W；良好散热静音无风扇设 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3.采用H.265视频解码技术，兼容H.264视频解码，支持高清视频信号≥1080P60帧输出。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4.支持对解码后的视频进行缩放、切割、拼接、叠加、同步及显示等处理。支持1×1、2×2、3×3等布局方式，支持手动自定义输入行、列数。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5.支持画面分割功能，单屏输出视频窗口可达≥16路，视频效果可达≥1080P30帧。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6.支持AAC-LC音频编解码。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7.具备中控功能，支持RS-232、RS-485、I/O口、红外信号的输入和输出信号，可自定义配置。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8.视频接口：≥1×HDMI、≥1×VGA，音频接口：≥1×3.5mm立体声音频输出，USB接口：≥2×USB（KVM接口），网口：≥1×RJ45，10/100/1000Base-T，支持POE，串口：≥1×RS-485、≥1×RS-232，红外：≥1×IR IN、≥1×IR OUT，I/O口：≥2×I/O口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9.盒子自带一键复位动态IP功能。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10.支持≥1路HDMI视频接口和≥1路VGA视频接口输出，具备3.5mm音频输出接口，支持HDMI音频输出，支持音视频同步传输。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11.支持KVM坐席管理功能，通过指令调出信号管理界面进行KVM坐席信号切换，一套键盘鼠标对多显示器实现操作，简洁桌面环境。支持KVM坐席多屏间鼠标漫游功能，支持KVM坐席单屏多画面鼠标漫游功能。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12.支持KVM功能，支持控制电脑、大屏的视频窗口切换等功能；支持鼠标漫游跨屏功能；可实现跨平台操作，包括Windows、linux、Mac等系统平台。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13.KVM坐席管理可实现信息实时抓取，支持通过一套键盘的热键，坐席人员可以将任意显示器或大屏信息抓取至本地显示器，也可以将本地显示器的信息推送至任意显示器或大屏。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14.支持字幕功能，可改变字体颜色、字体大小、位置等，并显示在视频层上面；支持图标功能。</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264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无缝高清矩阵切换器</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1.矩阵采用纯硬件标准化机箱设 计，支持配置≥16×16路信号切换，支持HDMI、DVI、VGA、SDI、HDBaseT、光纤的任意输入/输出信号卡，其中DVI输入卡兼容CVBS，YUV,S-VIDEO信号，VGA输入/输出卡均兼容CVBS，YUV,S-VIDEO。</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2.采用板卡模块化设 计，支持接入≥4块输入卡、≥4块输出卡、≥1块控制卡；通过配置各类相同或不同的输入输出卡可以组成单一接口类型或多接口类型的矩阵，如HDMI矩阵，DVI矩阵，VGA矩阵，YUV矩阵，Video矩阵等。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3.支持无缝切换功能，切换过程无黑屏信号。</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4.支持≥1080P分辨率，最大可支持≥4Kx2K。支持断电记忆功能。支持智能温控，控制矩阵风扇的运行；系统内可存储多组预切换指令，调用时可以一键切换。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5.支持模拟音频与HDMI内嵌音频选择输入、支持模拟音频与HDMI内嵌音频同时输出。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6.支持接入≥1块控制板卡，具有≥1路RS-232,1路RS-485,≥1路TCP/IP端口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7.HDBaseT输入输出信号支持双向 RS-232 和双向 IR 信号传输，可对RS-232和IR 信号选择随视频信号切换，或分离切换模式，支持扩展POC模块对外设供电。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8.支持KVM坐席管理功能，通过一套键盘鼠标显示器切换、管理多台计算机设备。</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HDMI无缝高清输入卡</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1.支持常规分辨率输入，最高分辨率可达≥1080P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2.支持无缝切换功能，切换过程无黑屏信号。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3.控制方式灵活，具有RS-232、RS-485、手机APP、≥1个网口网页控制方式，并且支持通过远端的HDBaseT/光纤的KVM键盘控制矩阵切换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4.支持断电记忆功能，免除上电重复设置动作，支持热拔插。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5.支持音视频信号同步切换，切换响应速度快。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6.支持模拟音频与HDMI内嵌音频选择输入，也支持音频单独传输。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7.支持EDID管理，可选默认EDID或者现场可学习。</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265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HDMI无缝高清输出卡</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1.支持常规分辨率输入，最高分辨率可达≥1080P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2.支持无缝切换功能，切换过程无黑屏信号。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3.控制方式灵活，具有RS-232、RS-485、手机APP、≥1个网口网页控制方式，并且支持通过远端的HDBaseT/光纤的KVM键盘控制矩阵切换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4.支持断电记忆功能，免除上电重复设置动作，支持热拔插。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5.支持音视频信号同步切换，切换响应速度快。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6.支持模拟音频与HDMI内嵌音频选择输入，也支持音频单独传输。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7.支持EDID管理，可选默认EDID或者现场可学习。</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块</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266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六</w:t>
            </w:r>
          </w:p>
        </w:tc>
        <w:tc>
          <w:tcPr>
            <w:tcW w:w="3073"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其他材料</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19英寸标准机柜（42U）</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42U机柜，采用冷轧钢板，H2000mm*W600mm*D600mm、立柱≥2.0mm 框架≥1.5mm 门板≥1.2mm（含PDU电源插排≥1，固定板部件≥3,风扇≥2,重型脚轮≥4，M12支脚≥4，M6方螺母螺钉≥40）。</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267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5" w:type="pc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液晶电视电子班牌</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1.支持展示班级信息、日常信息、倒计时事件信息、学校通知公告、课表安排、考勤签到记录等，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2.处理器配置不低于1.8GHz，内存不低于2G，存储器不低于16GB。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3.显示屏≥21.5英寸LED光源,分辨率≥1920x1080 亮度≥350cd/m2；G+G电容屏，支持10点触摸，响应速度≤10ms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4.前置500万高清防曝光摄像头，支持人脸识别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5.支持WiFi，802.11b/g/n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6.内置读卡器，支持Mifare1 /typea/14443a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7.支持定时开关机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8.支持wmv、avi、flv、rm、rmvb、mpeg 、ts、mp4等视频格式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9.USB2.0≥2个，HDMI≥1个,RJ45≥1个，DC12V≥2个 耳机口≥1个，TF卡槽（最高支持≥128GB TF卡）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10.采用超薄机身设 计，要求厚度≤19.5mm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268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85"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可移动讲台</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移动多媒体钢制讲台，含多媒体控制器，≥1050mm*≥730mm*≥1000mm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269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85"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可移动讲台主机</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85"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讲台单主机</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主机主频≥3.7GHz，内存≥8G DDR4，硬盘≥256G SSD。</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85"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接入交换机（24口）</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1.提供10/100/1000MBase-T端口数≥24，提供非复用的千兆SFP光插槽≥4；交换容量≥256Gbps，包转发率≥96Mpps；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多媒体地插</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配置接口：≥1个多功能电源接口、≥2个RJ45网络、≥1个3.5音频、≥1个HDMI高清视频接口、≥一个功能按键。</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vMerge w:val="restar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音频跳线：6.35mm大单芯-三芯卡侬头（公）(≥1.8m)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音频跳线：三芯卡侬头（母）-三芯卡侬头（公）(≥1.8m)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音频跳线：3.5mm接线头-6.35mm大单芯(≥3m)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音频跳线：3.5mm接线头-双6.35mm大单芯(≥3m)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 支持≥2K*4K，60HZ 支持2.0版本，长度≥5m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85" w:type="pc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点播机</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1.CPU:≥八核处理器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2.分辨率:≥1920*1080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3.屏幕尺寸:≥22寸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4.硬盘大小:≥6T</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885"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≥40米以上带信号放大器</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4" w:type="pct"/>
            <w:vMerge w:val="restar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3.5转双莲花音频线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屏蔽类，≥15米，符合国标</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符合国标，管径≥25mm,壁厚≥1.0mm含固定卡扣、弯头、镙栓等</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222</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2.线缆外径：5.1±0.5mm；绝缘层：≥0.2mm；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84</w:t>
            </w:r>
          </w:p>
        </w:tc>
        <w:tc>
          <w:tcPr>
            <w:tcW w:w="404"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18</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符合国标，1*HDMI高清视频线</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78</w:t>
            </w:r>
          </w:p>
        </w:tc>
        <w:tc>
          <w:tcPr>
            <w:tcW w:w="404" w:type="pct"/>
            <w:vMerge w:val="restar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19</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EVJV双绞音响线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符合国标，EVJV2*≥2.5mm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198</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20</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三芯多股铜芯护套线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符合国标，RVV3*≥2.5mm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60</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15" w:hRule="atLeast"/>
        </w:trPr>
        <w:tc>
          <w:tcPr>
            <w:tcW w:w="46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21</w:t>
            </w:r>
          </w:p>
        </w:tc>
        <w:tc>
          <w:tcPr>
            <w:tcW w:w="88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音频跳线：RCA莲花-RCA莲花(≥10m)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0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404"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4"/>
          <w:szCs w:val="24"/>
          <w:shd w:val="clear" w:fill="FFFFFF"/>
        </w:rPr>
        <w:t>8、100人电教室清单</w:t>
      </w:r>
    </w:p>
    <w:tbl>
      <w:tblPr>
        <w:tblStyle w:val="9"/>
        <w:tblW w:w="510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27"/>
        <w:gridCol w:w="1564"/>
        <w:gridCol w:w="3857"/>
        <w:gridCol w:w="614"/>
        <w:gridCol w:w="1216"/>
        <w:gridCol w:w="71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序号</w:t>
            </w:r>
          </w:p>
        </w:tc>
        <w:tc>
          <w:tcPr>
            <w:tcW w:w="889"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货物名 称</w:t>
            </w:r>
          </w:p>
        </w:tc>
        <w:tc>
          <w:tcPr>
            <w:tcW w:w="2192"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参数规格</w:t>
            </w:r>
          </w:p>
        </w:tc>
        <w:tc>
          <w:tcPr>
            <w:tcW w:w="349"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单位</w:t>
            </w:r>
          </w:p>
        </w:tc>
        <w:tc>
          <w:tcPr>
            <w:tcW w:w="691"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数量</w:t>
            </w:r>
          </w:p>
        </w:tc>
        <w:tc>
          <w:tcPr>
            <w:tcW w:w="40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技术评分项号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一</w:t>
            </w:r>
          </w:p>
        </w:tc>
        <w:tc>
          <w:tcPr>
            <w:tcW w:w="3081"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81" w:type="pct"/>
            <w:gridSpan w:val="2"/>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LCD大屏系统</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9"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55英寸LCD液晶拼接屏</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 单个屏幕尺寸：55英寸，≤3.5mm拼缝；最大分辨率：≥1920*1080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2.亮度：≥500cd/㎡，对比度：≥1200:1；平均无故障时间（MTBF）≥60000小时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设备响应时间≤8ms；单屏幕接口：VGA×1、 DVI×1 、HDMI×1 、CVBS in×1、USB×1；RS232 in×1、RS232 out×2；屏幕支持3D降噪处理技术；功耗≤200W，待机功耗≤0.5W；配套对应数量的维护支架；</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 内置图像处理芯片，能够实时分析显示内容资料，实现在影片、汇报和监控三种场景模式下智能；</w:t>
            </w:r>
            <w:r>
              <w:rPr>
                <w:rStyle w:val="11"/>
                <w:rFonts w:hint="eastAsia" w:ascii="宋体" w:hAnsi="宋体" w:eastAsia="宋体" w:cs="宋体"/>
                <w:b/>
                <w:bCs/>
                <w:color w:val="auto"/>
                <w:sz w:val="24"/>
                <w:szCs w:val="24"/>
              </w:rPr>
              <w:t>(需提供权威检测机构出具的检测报告复印件进行佐证)</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 具有检测并匹配与输入信源相同的颜色空间的功能，使显示画面不丢失暗阶、亮阶细节； 具有实时分析当前画面亮度分布比例，自动调整亮度值的功能，具有动态调节画面对比度，可提高暗阶画面亮度，增强暗画面显示细节的功能。</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40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拼接器</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10个HDMI输出接口、≥1个VGA输入接口、≥1个DVI输入接口、≥2个USB口、≥1个语音对讲输入、≥1个语音对讲输出、≥10个音频输出、≥8个报警输入、≥8个报警输出、≥1个RS485接口、≥5个CVBS输出接口（通过转接头实现）、≥1个RS232接口，≥2个千兆网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2.支持对输入的视频画面进行90°、180°、270°旋转显示。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支持PC 软件客户端、WEB 浏览器客户端、平台客户端、IPAD、可视化触控平台方式访问管理。 </w:t>
            </w:r>
            <w:r>
              <w:rPr>
                <w:rStyle w:val="11"/>
                <w:rFonts w:hint="eastAsia" w:ascii="宋体" w:hAnsi="宋体" w:eastAsia="宋体" w:cs="宋体"/>
                <w:b/>
                <w:bCs/>
                <w:color w:val="auto"/>
                <w:sz w:val="24"/>
                <w:szCs w:val="24"/>
              </w:rPr>
              <w:t>(需提供权威检测机构出具的检测报告复印件进行佐证)</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大屏线缆</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处理器到大屏的HDMI线缆、电源排插等；</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控制主机</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279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二</w:t>
            </w:r>
          </w:p>
        </w:tc>
        <w:tc>
          <w:tcPr>
            <w:tcW w:w="3081"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扩声系统</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主扩专业功放</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1.输出功率（20Hz-20KHz/THD≤1％）：立体声/并联8Ω×2：500W×2、立体声/并联4Ω×2：750W×2 、立体声/并联2Ω×2：1125W×2、桥接8Ω：≥1500W、桥接4Ω：≥2200W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 </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主扩专业音箱</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2.频响：50Hz~20KHz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3.额定功率：≥350W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4.灵敏度：≥99dB/W/M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6.高音：1.7"压缩高音单元×1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7.低音：12"低音×1</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辅助四通道数字功放</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1.采用D类功放设 计，支持开机软启动；支持智能削峰限幅器，控制功率模块及扬声器系统在安全范围内工作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2.内置低切开关选择的功能。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3.支持立体声或并接工作模式：输出功率支持立体声/并联8Ω×4：500W×4，支持立体声/并联4Ω×4：700W×4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4.采用标准XLR+TRS1/4" 复合多功能输入接口。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5.支持过压保护、欠压保护、过温压限、过流压限、直流保护、输出短路保护、温控风扇等功能。</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辅助专业音箱</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2.频响：50Hz~20KHz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3.额定功率：≥350W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4.灵敏度：≥99dB/W/M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6.高音：1.7"压缩高音单元×1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7.低音：12"低音×1</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1.固定面板尺寸（长*宽）：≥230mm*≥152mm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2.臂杆长度：≥230mm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3.箱体固定杆长度：≥155mm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调音台</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1.支持≥8路麦克风输入兼容6路线路输入接口，支持≥2路立体声输入接口，≥4路RCA输入，话筒接口幻象电源：+48V。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2.具有≥2组立体主输出、≥4路编组输出、≥4路辅助输出、≥1组立体声监听输出、≥1个耳机监听输出、≥2个效果输出、≥1组主混音断点插入、≥6个断点插入。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3.内置≥24位DSP效果器，提供100种预设效果。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4.具备≥13个60mm行程的高精密碳膜推子。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5.内置USB声卡模块，支持连接电脑进行音乐播放和声音录音；内置MP3播放器，支持1个USB接口接U盘播放音乐。</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数字音频处理器</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1.数字音频处理器支持≥8路平衡式话筒/线路输入通道，采用裸线接口端子，平衡接法；支持≥8路平衡式线路输出，采用裸线接口端子，平衡接法。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2、输入通道支持前级放大、信号发生器、扩展器、压缩器、≥5段参量均衡、AM自动混音功能、AFC自适应反馈消除、AEC回声消除、ANC噪声消除。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3.输出通道支持≥31段图示均衡器、延时器、分频器、高低通滤波器、限幅器。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4.支持24bit/48KHz的声音，支持输入通道48V幻象供电。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5.配置双向RS-232接口，可用于控制外部设备；配置RS-485接口，可实现自动摄像跟踪功能。配置≥8通道可编程GPIO控制接口（可自定义输入输出）。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6.支持断电自动保护记忆功能，联控功能。</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有线鹅颈话筒</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1.指向性：心形指向性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2.信噪比：65dB SPL 1KHz at 1Pa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3.频率响应：20-18KHz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4.输出阻抗：75Ω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5.灵敏度：-40dB±2dB</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头戴手持无线话筒（一拖二）</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1.采用UHF超高频段双真分集接收，并采用PLL锁相环多信道频率合成技术；V/A显示屏在任何角度观察字体清晰同时显示信道号与工作频率。红外对频功能。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2.带≥8级射频电平显示，≥8级音频电平显示，频道菜单显示，静音显示；具有SCAN 自动扫频功能。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3.平衡和非平衡两种选择输出端口，适应不同的设备连接需求。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4.频率指标:640-830MHz，调制方式:宽带FM，提供各≥200个可调频率，共≥500个信道选择，真正分集式接收,有效避免断频现象和延长接收距离。工作距离约≥100m；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5.接收机指标：采用二次变频超外差的接收机方式，灵敏度: 12dB μV（80dBS/N)，灵敏度调节范围:12-32dB μV，频率响应:80Hz-18KHz（±3dB）。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6.包括有一台主机+一个头戴和一个手持话筒；发射机指标：音头采用动圈式麦克风，输出功率:3mW~30mW。</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抑制器</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1.采用≥96KHz采样频率，32-bit DSP处理器，24-bitA/D及D/A转换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2.支持数字信号输入输出通道提供coaxial，AES及光纤接口。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3.支持≥144 x 32的LCD显示屏显示参数功能，提供≥6段LED显示输出电平；每通道≥24个LED灯显示啸叫抑制状态数量；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3.每通道支持压缩、限幅、噪声门、功能设置，可切换工作模式为直通或反馈抑制；可任意编辑固定和动态反馈点数量，可一键清除啸叫点；单机可存储≥30组用户程序。</w:t>
            </w:r>
            <w:r>
              <w:rPr>
                <w:rStyle w:val="11"/>
                <w:rFonts w:hint="eastAsia" w:ascii="宋体" w:hAnsi="宋体" w:eastAsia="宋体" w:cs="宋体"/>
                <w:b/>
                <w:bCs/>
                <w:color w:val="auto"/>
                <w:sz w:val="24"/>
                <w:szCs w:val="24"/>
              </w:rPr>
              <w:t>(需提供权威检测机构出具的检测报告复印件进行佐证)</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三</w:t>
            </w:r>
          </w:p>
        </w:tc>
        <w:tc>
          <w:tcPr>
            <w:tcW w:w="3081"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录播系统（3机位教室）</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录播主机</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1.采用一体化硬件设 计，嵌入式操作系统，高度集成图像识别跟踪、自动导播、直播、点播、采集、录制等系统模块，易用易维护安全性超高。</w:t>
            </w:r>
            <w:r>
              <w:rPr>
                <w:rStyle w:val="11"/>
                <w:rFonts w:hint="eastAsia" w:ascii="宋体" w:hAnsi="宋体" w:eastAsia="宋体" w:cs="宋体"/>
                <w:b/>
                <w:bCs/>
                <w:color w:val="auto"/>
                <w:sz w:val="24"/>
                <w:szCs w:val="24"/>
              </w:rPr>
              <w:t>(需提供官网链接和截图进行佐证)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2.基于B/S架构，登陆web端即可实现直播管理、信号管理、分组管理、用户管理、文件管理、预约录制、中控管理以及系统管理等功能。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3.音频采用AAC高清编码方式，音视频精准同步录制。视频采用H.264编码方式，码率可调，支持视频编码256kbps～12Mbps，支持1920x1080等分辨率。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4.主机内置不小于2.2英寸LCD屏，显示系统硬盘空间、版本号和录制状态、IP地址等设备信息。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5.主机自带不少于2TB的存储空间，用于存储数据。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6.主机具备不少于3路HDMI信号输入接口、4路SDI信号输入接口，不少于2路HDMI视频输出接口，不少于4路控制接口，不少于3路USB接口，不少于1路YCBR复合信号输入口，不少于3路音频输入接口、2路音频输出接口。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7.支持通过导播软件进行手动导播，也可配合内置的自动导播模块进行全自动导播式。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单流单画面/单流多画面/多流多画面的录制方式，可实现每路输入信号分别保存为单独的文件，最多支持同时录制5路视频画面，可自定义类别进行分类录制和分类存储，支持MP4、AVI、MOV、FLV和MKV等多种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9.支持不少于三画面、四画面以及对话画面等7种画面布局，并支持不少于2种自定义画面布局，满足个性化需求。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10.支持图像点击跟踪功能，一键即可到位。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11.支持在线语音转写功能，实现将语音转写成文本并自动生成字幕。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12.支持预约录制功能，预约录制课表编辑完成后便自动按预定时间进行录制，并自动生产文件名并附带场地、主讲人和主题等信息。</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导播台</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1.LCD液晶显示，具有≥28个按键，双色按键背光，操纵杆：≥3轴+1个按键。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智能导播拍摄方式切换，支持自动、半自动和手动拍摄；支持一键启动、暂停、停止录制；支持教师特写、教师全景、学生特写、学生全景、板书、PPT画面一键切换；支持多个预置位设置和调用，每通道最多≥9个预置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3.拍摄录制画面切换，支持多种画面组合录制模式；摇杆式操控摄像机目标拍摄，支持快、慢速拍摄、变倍、变焦调节；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4.具有≥1个RJ-45(RS-458)，≥1个RS-232，≥1个USB-D通信接口，支持协议：VISCA协议，波特率：9600。</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教师特写摄像机</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1.高清摄像机采用高品质超长焦镜头，具备≥20倍光学变倍镜头，支持≥16倍数字变焦；采用≥1/2.8英寸、≥207万有效像素的高品质HD CMOS传感器。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2.镜头焦距f4.42mm ~ 88.5mm, 光圈系数F1.8 ~ F2.8。</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3.支持1080P60/50/30/25/59.94/29.97；1080I60/50/59.94；720P60/50/30/25/59.94/29.97分辨率，支持输出帧率≥60帧/秒。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4.具备≥1路HDMI和≥1路3G-SDI高清视频输出接口、支持CVBS标清输出，支持HDMI、SDI、网络≥三路可同时输出。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5.支持TCP/IP, HTTP, RTSP, RTMP, Onvif, DHCP, GB/T2818组播等协议。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6.支持RS232串口远程对摄像机进行控制（带环通RS-232输出），支持VISCA、PELCO-D、PELCO-P协议。支持多达≥255个预置位。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7.水平视场角：60.7° ~ 3.36°；支持水平转动范围：-170°～+170°，垂直转动范围：-30°～+90°，水平转动速度范围：1.7° ~ 100°/s ，垂直转动速度范围：1.7° ~ 69.9°/s。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8.采用2D、3D降噪技术，图像信噪比≥55dB；支持AAC音频编码。</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讲师4K双景摄像机</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1.配置4K Sensor和4K镜头，实现高清电子云台效果。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2.内置图像识别和跟踪算法。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3.全自动对焦无畸变镜头，广角视场高达≥46°。同时支持EPTZ。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4.全新CMOS图像传感器可降低在低照度情况下的图像噪声，同时应用2D和3D降噪算法，图像信噪比高达55dB以上。</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5.支持3G-SDI接口，有效传输距离最高长达≥150米（1080p30）。SDI、网络≥两路可同时输出。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6.支持POE（Power Over Ethernet）一 线通功能，电源、视频、音频、控制三线合一。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7.支持交织模式，可实现单摄像头同时输出全景和特写信号，实现一机双镜效果。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8.最高支持≥3840x2160@30fps分辨率编码网络流输出，并向下兼容。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9.≥1/2.5英寸CMOS, 有效像素≥851万，扫描方式：逐行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10.镜头：焦距: f=≥7.35mm, 水平视场角: ≥46°。</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289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学员4K双景摄像机</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1.配置4K Sensor和4K镜头，实现高清电子云台效果。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2.内置图像识别和跟踪算法支持≥8个的屏蔽区域。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3.全自动对焦无畸变镜头，广角视场高达≥120°。同时支持EPTZ。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4.CMOS图像传感器可有效降低在低照度情况下的图像噪声，同时应用2D和3D降噪算法，图像信噪比高达≥55dB。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5.支持3G-SDI接口，有效传输距离最高长达≥150米（1080p30）。SDI、网络≥两路可同时输出。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6.支持POE（Power Over Ethernet）一 线通功能，电源、视频、音频、控制三线合一。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7.支持交织模式，可实现单摄像头同时输出全景和特写信号，实现一机双镜效果。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8.最高支持3840x2160@30fps分辨率编码网络流输出，并向下兼容。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9.≥1/2.5英寸CMOS, 有效像素≥851万，扫描方式：逐行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10.镜头：焦距: f=≥3.5mm, 水平视场角:≥84°。</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四</w:t>
            </w:r>
          </w:p>
        </w:tc>
        <w:tc>
          <w:tcPr>
            <w:tcW w:w="3081"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中控系统</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云控终端</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1.设备内置音频切换模块、视频切换模块、红外学习及发射模块、设备电源管理模块、功放模块、网络广播模块、控制接口模块。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集成音视频切换模块，具有≥2路音频输入接口（含线性输入、MIC输入）、≥1路音频输出接口、≥2路功放输出接口，具有≥4路HDMI高清输入接口、≥2路HDMI高清输出接口；支持≥4进2出音视频矩阵，支持音视频同步输入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3.集成至少2路45W以上的高效智能数字功放模块，具备≥2路功放输出接口，可直接接定阻音箱。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4.集成红外学习及发射模块，具有≥1路红外学习端口，≥2路独立可编程红外IR发送接口，可远程控制多台红外遥控设备等。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5.集成设备电源管理模块，具有≥1路可编程电源控制接口，支持延时断电功能。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6.集成网络广播模块，内置网络IP解码模块，可作为数字广播解码终端使用，配合网络广播系统可实现定时广播、网络音频播放、远程节目点播、定时任务播放等功能。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7.具有≥2路弱继电器控制接口，可触发控制电源时序器、电控锁等设备。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8.具有≥1路RS-232双向通讯接口，独立可编程，可控投影机或第三方通讯设备。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9.具有≥2路RS-485控制接口，独立可编程，可控投影机或第三方通讯设备；其中≥1路为连接扩展面板。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10.具有≥2路I/O接口，可实现远程电脑开关控制、可接入感知器/断线报警等开关量传感设备，可实现门磁状态反馈等功能。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11.具有≥1路韦根协议接口。</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场景控制扩展盒</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1.协议兼容：搭配可编程中控主机使用，也全面支持第三方设备控制。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2.具有≥1路RS232带保护电路接口，具有≥1路红外输出口，≥1路RS485输入输出接口，兼容RS422协议。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3.机器具备ID识别，方便系统级联扩展。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4.具有复位按键，支持恢复到出厂的默认设置。具有工作指示灯，红色指示灯指示机器运行状态，蓝色指示灯指示机器的开关状态。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5.支持两种供电方式，一种是DC12V供电，一种是百兆POE供电(标准的POE协议)。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6.支持通过以太网远程控制，支持DHCP，设备网络地址自动识别和批量IP信息更改。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7.采用处理器性能不低于32位内嵌式。</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五</w:t>
            </w:r>
          </w:p>
        </w:tc>
        <w:tc>
          <w:tcPr>
            <w:tcW w:w="3081"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云桌面</w:t>
            </w:r>
          </w:p>
        </w:tc>
        <w:tc>
          <w:tcPr>
            <w:tcW w:w="349" w:type="pct"/>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91"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云桌面服务器</w:t>
            </w:r>
          </w:p>
        </w:tc>
        <w:tc>
          <w:tcPr>
            <w:tcW w:w="2192"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1.非OEM产品，2U机架式服务器，标配导轨、安全面板。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2.处理器：≥2.1GHz处理器。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3.内存：≥512GB DDR4 ，本地提供≥24个内存槽位，最大支持3TB内存。</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4.存储：≥2块600 SAS 10K HDD硬盘，≥2块960GB SSD硬盘，≥6块16TB SATA 7.2K HDD硬盘。</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5.阵列控制器：≥1个阵列卡，≥1GB缓存，支持缓存数据保护，配置12Gbps SAS磁盘阵列控制器，支持Raid0/1/10/5/50/6/60, Raid 1/10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6.≥10个PCI-e 3.0全高插槽，支持8块单宽GPU卡，本次配置≥4个千兆电接口，≥4个万兆光接口网卡（满配SFP+光模块），2个800W白金版热插拔冗余电源，。</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0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显示器</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宽屏显示器，≥19.5英寸，≥1600*900@≥60Hz分辨率</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102</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键鼠套装</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鼠标*1、键盘*1</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102</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云终端</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1.性能：采用主频≥1.8Ghz，支持Android操作系统；内存：≥2GB ；存储：≥8GB Flash。</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2.接口：≥6个USB口，≥1个耳机口，≥1个麦克风口，≥1个VGA口，≥1个HDMI口。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云办公管理平台，提供≥1个云终端管理授权license，同一个管理平台下支持创建VDI不同类型桌面镜像文件，根据桌面镜像部署对应的虚拟机；支持通过大屏展示主机、虚拟桌面、在线用户，在线终端的运行状态在线用户及资源利用率等信息，提供主机、虚拟机、集群的CPU利用率、内存利用率、磁盘利用率或主机、虚拟机的磁盘吞吐量、网络吞吐量等阈值告警功能；支持与AD域无缝对接和联动；软件技术支持服务3年。</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102</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云桌面存储交换机</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1.≥24个1/10GE SFP+万兆光接口，冗余风扇和电源，≥1个Console口，≥1个USB口，交换容量2.≥23Tbps，包转发率≥480Mpps，实配支持OpenFlow和VxLAN功能，支持iNQA智能网络质量分析；支持eMDI增强型媒体传输质量指标；支持Telemetry技术；支持ISSU（不中断业务升级）、OAM（操作、管理和维护）；支持MACsec硬件加密；支持DRNI跨设备链路聚合技术；内置智能管理平台，实现对网络的统一运维及管理。配置2个≥150W可插拔AC交流电源；含：交换机管理平台软件；万兆多模光模块(*8个)；3米堆叠线缆(*2个）；</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六</w:t>
            </w:r>
          </w:p>
        </w:tc>
        <w:tc>
          <w:tcPr>
            <w:tcW w:w="3081" w:type="pct"/>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其他材料</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70" w:type="pct"/>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89" w:type="pc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19英寸标准机柜（24U）</w:t>
            </w:r>
          </w:p>
        </w:tc>
        <w:tc>
          <w:tcPr>
            <w:tcW w:w="2192" w:type="pc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24U机柜，采用冷轧钢板，H1250mm*W600mm*D600mm、立柱≥2.0mm 。</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液晶电视电子班牌</w:t>
            </w:r>
          </w:p>
        </w:tc>
        <w:tc>
          <w:tcPr>
            <w:tcW w:w="219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1.支持展示班级信息、日常信息、倒计时事件信息、学校通知公告、课表安排、考勤签到记录等，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2.处理器配置不低于1.8GHz，内存不低于2G，存储器不低于16GB。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3.显示屏≥21.5英寸LED光源,分辨率≥1920x1080 亮度≥350cd/m2；G+G电容屏，支持10点触摸，响应速度≤10ms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4.前置500万高清防曝光摄像头，支持人脸识别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5.支持WiFi，802.11b/g/n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6.内置读卡器，支持Mifare1 /typea/14443a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7.支持定时开关机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8.支持wmv、avi、flv、rm、rmvb、mpeg 、ts、mp4等视频格式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9.USB2.0≥2个，HDMI≥1个,RJ45≥1个，DC12V≥2个 耳机口≥1个，TF卡槽（最高支持≥128GB TF卡）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10.采用超薄机身设 计，要求厚度≤19.5mm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299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89" w:type="pc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可移动讲台</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移动多媒体钢制讲台，含多媒体控制器，≥1050mm*≥730mm*≥1000mm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89"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可移动讲台主机</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301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89" w:type="pc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讲台单主机</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主机主频≥3.7GHz，内存≥8G DDR4，硬盘≥256G SSD。</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302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89"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接入交换机（24口）</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line="300" w:lineRule="atLeast"/>
              <w:ind w:left="0" w:right="0" w:firstLine="0"/>
              <w:textAlignment w:val="top"/>
              <w:rPr>
                <w:color w:val="auto"/>
              </w:rPr>
            </w:pPr>
            <w:r>
              <w:rPr>
                <w:rFonts w:hint="eastAsia" w:ascii="宋体" w:hAnsi="宋体" w:eastAsia="宋体" w:cs="宋体"/>
                <w:color w:val="auto"/>
                <w:sz w:val="24"/>
                <w:szCs w:val="24"/>
              </w:rPr>
              <w:t>1.提供10/100/1000MBase-T端口数≥24，提供非复用的千兆SFP光插槽≥4；交换容量≥256Gbps，包转发率≥96Mpps；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2.支持IPv4静态路由，RIP，ospf，支持IPv6静态路由；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3.支持流镜像、端口镜像；支持生成树协议STP(IEEE 802.1d)，RSTP(IEEE 802.1w)和MSTP(IEEE 802.1s)，完全保证快速收敛，提高容错能力；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4.支持L2～L4包过滤功能，可以匹配报文前80个字节，提供基于源MAC地址、目的MAC地址、源IP地址、目的IP地址、IP协议类型、TCP/UDP端口、 TCP/UDP端口范围、VLAN等定义ACL。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5.支持CPU防护功能；</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303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音频跳线：6.35mm大单芯-三芯卡侬头（公）(≥1.8m)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08" w:type="pct"/>
            <w:vMerge w:val="restart"/>
            <w:tcBorders>
              <w:top w:val="nil"/>
              <w:left w:val="nil"/>
              <w:bottom w:val="nil"/>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304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音频跳线：三芯卡侬头（母）-三芯卡侬头（公）(≥1.8m)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408"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音频跳线：3.5mm接线头-6.35mm大单芯(≥3m)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08"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视频线</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 支持≥2K*4K，60HZ 支持2.0版本，长度≥5m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08"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符合国标，1*HDMI高清视频线</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90</w:t>
            </w:r>
          </w:p>
        </w:tc>
        <w:tc>
          <w:tcPr>
            <w:tcW w:w="408"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85" w:hRule="atLeast"/>
        </w:trPr>
        <w:tc>
          <w:tcPr>
            <w:tcW w:w="47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8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EVJV双绞音响线</w:t>
            </w:r>
          </w:p>
        </w:tc>
        <w:tc>
          <w:tcPr>
            <w:tcW w:w="219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符合国标，EVJV2*≥2.5mm</w:t>
            </w:r>
          </w:p>
        </w:tc>
        <w:tc>
          <w:tcPr>
            <w:tcW w:w="349"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691"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163</w:t>
            </w:r>
          </w:p>
        </w:tc>
        <w:tc>
          <w:tcPr>
            <w:tcW w:w="408" w:type="pct"/>
            <w:vMerge w:val="continue"/>
            <w:tcBorders>
              <w:top w:val="nil"/>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4"/>
          <w:szCs w:val="24"/>
          <w:shd w:val="clear" w:fill="FFFFFF"/>
        </w:rPr>
        <w:t>9、53人普通教室</w:t>
      </w:r>
    </w:p>
    <w:tbl>
      <w:tblPr>
        <w:tblStyle w:val="9"/>
        <w:tblW w:w="5134"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99"/>
        <w:gridCol w:w="1576"/>
        <w:gridCol w:w="3884"/>
        <w:gridCol w:w="515"/>
        <w:gridCol w:w="688"/>
        <w:gridCol w:w="600"/>
        <w:gridCol w:w="78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序号</w:t>
            </w:r>
          </w:p>
        </w:tc>
        <w:tc>
          <w:tcPr>
            <w:tcW w:w="89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货物名 称</w:t>
            </w:r>
          </w:p>
        </w:tc>
        <w:tc>
          <w:tcPr>
            <w:tcW w:w="2196"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参数规格</w:t>
            </w:r>
          </w:p>
        </w:tc>
        <w:tc>
          <w:tcPr>
            <w:tcW w:w="29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单位</w:t>
            </w:r>
          </w:p>
        </w:tc>
        <w:tc>
          <w:tcPr>
            <w:tcW w:w="38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数量</w:t>
            </w:r>
          </w:p>
        </w:tc>
        <w:tc>
          <w:tcPr>
            <w:tcW w:w="3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备注</w:t>
            </w:r>
          </w:p>
        </w:tc>
        <w:tc>
          <w:tcPr>
            <w:tcW w:w="44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技术评分项号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一</w:t>
            </w:r>
          </w:p>
        </w:tc>
        <w:tc>
          <w:tcPr>
            <w:tcW w:w="308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利旧</w:t>
            </w: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二</w:t>
            </w:r>
          </w:p>
        </w:tc>
        <w:tc>
          <w:tcPr>
            <w:tcW w:w="308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扩声系统</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专业功放</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1.两声道功放有三档输入灵敏度选择（支持0.775V/1V/1.44V），可轻松接纳宽幅度范围信号源输入。输入座接地脚接地和悬浮控制。</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2.采用强制散热设 计；具有安全保护措施和工作状态指示（短路、过载、直流和过热保护，变压器过热保护）。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3.输出功率:立体声/并联8Ω:≥350W*2.立体声/并联4Ω:≥530W*2.桥接8Ω:1060W。</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4、采用标准XLR+TRS1/4"复合多功能输入接口。智能削峰限幅器，控制功率模块及扬声器系统在安全范围内工作。</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专业音箱</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2.频响：60Hz~20KHz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4.灵敏度：≥96dB/W/M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6.高音：1.4"压缩高音单元×1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7.低音：8"低音×1</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305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1.固定面板尺寸（长*宽）：≥230mm*≥152mm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2.臂杆长度：≥230mm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3.箱体固定杆长度：≥155mm</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306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音频处理器</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1.输入每通道：≥2路平衡式线路输入，采用标准卡侬接口，平衡接法。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2.输出每通道：≥6路平衡式线路输出，采用标准卡侬接口，平衡接法。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3.支持FIR滤波器。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4.内置数字音频处理算法：增益、延迟、EQ、混音矩阵、压缩器、分配和限幅器。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5.支持断电自动保护记忆功能。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6.支持通道联控功能。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7.支持USB和RJ45两种连接方式，实现PC软件控制，支持RS232控制。</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307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抑制器</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1.采用≥96KHz采样频率，32-bit DSP处理器，24-bitA/D及D/A转换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2.支持数字信号输入输出通道提供coaxial，AES及光纤接口。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3.支持≥144 x 32的LCD显示屏显示参数功能，提供≥6段LED显示输出电平；每通道≥24个LED灯显示啸叫抑制状态数量；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4.每通道支持压缩、限幅、噪声门、功能设置，可切换工作模式为直通或反馈抑制；可任意编辑固定和动态反馈点数量，可一键清除啸叫点；单机可存储≥30组用户程序。</w:t>
            </w:r>
            <w:r>
              <w:rPr>
                <w:rStyle w:val="11"/>
                <w:rFonts w:hint="eastAsia" w:ascii="宋体" w:hAnsi="宋体" w:eastAsia="宋体" w:cs="宋体"/>
                <w:b/>
                <w:bCs/>
                <w:color w:val="auto"/>
                <w:sz w:val="24"/>
                <w:szCs w:val="24"/>
              </w:rPr>
              <w:t>(需提供权威检测机构出具的检测报告复印件进行佐证)</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头戴手持无线话筒（一拖二）</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1.采用UHF超高频段双真分集接收，并采用PLL锁相环多信道频率合成技术；V/A显示屏在任何角度观察字体清晰同时显示信道号与工作频率。红外对频功能。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2.带≥8级射频电平显示，≥8级音频电平显示，频道菜单显示，静音显示；具有SCAN 自动扫频功能。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3.平衡和非平衡两种选择输出端口，适应不同的设备连接需求。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4.频率指标:640-830MHz，调制方式:宽带FM，提供各≥200个可调频率，共≥500个信道选择，真正分集式接收,有效避免断频现象和延长接收距离。工作距离约≥100m；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5.接收机指标：采用二次变频超外差的接收机方式，灵敏度: 12dB μV（80dBS/N)，灵敏度调节范围:12-32dB μV，频率响应:80Hz-18KHz（±3dB）。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6.包括有一台主机+一个头戴和一个手持话筒；发射机指标：音头采用动圈式麦克风，输出功率:3mW~30mW。</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308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三</w:t>
            </w:r>
          </w:p>
        </w:tc>
        <w:tc>
          <w:tcPr>
            <w:tcW w:w="308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中控系统</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云控终端</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1.设备内置音频切换模块、视频切换模块、红外学习及发射模块、设备电源管理模块、功放模块、网络广播模块、控制接口模块。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2.集成音视频切换模块，具有≥2路音频输入接口（含线性输入、MIC输入）、≥1路音频输出接口、≥2路功放输出接口，具有≥4路HDMI高清输入接口、≥2路HDMI高清输出接口；支持≥4进2出音视频矩阵，支持音 视频同步输入输出。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3.集成至少2路45W以上的高效智能数字功放模块，具备≥2路功放输出接口，可直接接定阻音箱。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4.集成红外学习及发射模块，具有≥1路红外学习端口，≥2路独立可编程红外IR发送接口，可远程控制多台红外遥控设备等。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5.集成设备电源管理模块，具有≥1路可编程电源控制接口，支持延时断电功能。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6.集成网络广播模块，内置网络IP解码模块，可作为数字广播解码终端使用，配合网络广播系统可实现定时广播、网络音频播放、远程节目点播、定时任务播放等功能。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7.具有≥2路弱继电器控制接口，可触发控制电源时序器、电控锁等设备。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8.具有≥1路RS-232双向通讯接口，独立可编程，可控投影机或第三方通讯设备。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9.具有≥2路RS-485控制接口，独立可编程，可控投影机或第三方通讯设备；其中≥1路为连接扩展面板。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10.具有≥2路I/O接口，可实现远程电脑开关控制、可接入感知器/断线报警等开关量传感设备，可实现门磁状态反馈等功能。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11.具有≥1路韦根协议接口。</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309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场景控制扩展盒</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1.协议兼容：搭配可编程中控主机使用，也全面支持第三方设备控制。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2.具有≥1路RS232带保护电路接口，具有≥1路红外输出口，≥1路RS485输入输出接口，兼容RS422协议。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3.机器具备ID识别，方便系统级联扩展。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4.具有复位按键，支持恢复到出厂的默认设置。具有工作指示灯，红色指示灯指示机器运行状态，蓝色指示灯指示机器的开关状态。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5.支持两种供电方式，一种是DC12V供电，一种是百兆POE供电(标准的POE协议)。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6.支持通过以太网远程控制，支持DHCP，设备网络地址自动识别和批量IP信息更改。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7.采用处理器性能不低于32位内嵌式。</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310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四</w:t>
            </w:r>
          </w:p>
        </w:tc>
        <w:tc>
          <w:tcPr>
            <w:tcW w:w="308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录播系统（3机位教室）</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录播主机</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1.采用一体化硬件设 计，嵌入式操作系统，高度集成图像识别跟踪、自动导播、直播、点播、采集、录制等系统模块，易用易维护安全性超高。</w:t>
            </w:r>
            <w:r>
              <w:rPr>
                <w:rStyle w:val="11"/>
                <w:rFonts w:hint="eastAsia" w:ascii="宋体" w:hAnsi="宋体" w:eastAsia="宋体" w:cs="宋体"/>
                <w:b/>
                <w:bCs/>
                <w:color w:val="auto"/>
                <w:sz w:val="24"/>
                <w:szCs w:val="24"/>
              </w:rPr>
              <w:t>(需提供官网链接和截图进行佐证)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2.基于B/S架构，登陆web端即可实现直播管理、信号管理、分组管理、用户管理、文件管理、预约录制、中控管理以及系统管理等功能。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3.音频采用AAC高清编码方式，音视频精准同步录制。视频采用H.264编码方式，码率可调，支持视频编码256kbps～12Mbps，支持1920x1080等分辨率。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4.主机内置不小于2.2英寸LCD屏，显示系统硬盘空间、版本号和录制状态、IP地址等设备信息。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5.主机自带不少于2TB的存储空间，用于存储数据。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6.主机具备不少于3路HDMI信号输入接口、4路SDI信号输入接口，不少于2路HDMI视频输出接口，不少于4路控制接口，不少于3路USB接口，不少于1路YCBR复合信号输入口，不少于3路音频输入接口、2路音频输出接口。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7.支持通过导播软件进行手动导播，也可配合内置的自动导播模块进行全自动导播式。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单流单画面/单流多画面/多流多画面的录制方式，可实现每路输入信号分别保存为单独的文件，最多支持同时录制5路视频画面，可自定义类别进行分类录制和分类存储，支持MP4、AVI、MOV、FLV和MKV等多种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9.支持不少于三画面、四画面以及对话画面等7种画面布局，并支持不少于2种自定义画面布局，满足个性化需求。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10.支持图像点击跟踪功能，一键即可到位。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11.支持在线语音转写功能，实现将语音转写成文本并自动生成字幕。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12.支持预约录制功能，预约录制课表编辑完成后便自动按预定时间进行录制，并自动生产文件名并附带场地、主讲人和主题等信息。</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导播台</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1.LCD液晶显示，具有≥28个按键，双色按键背光，操纵杆：≥3轴+1个按键。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智能导播拍摄方式切换，支持自动、半自动和手动拍摄；支持一键启动、暂停、停止录制；支持教师特写、教师全景、学生特写、学生全景、板书、PPT画面一键切换；支持多个预置位设置和调用，每通道最多≥9个预置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3.拍摄录制画面切换，支持多种画面组合录制模式；摇杆式操控摄像机目标拍摄，支持快、慢速拍摄、变倍、变焦调节；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4.具有≥1个RJ-45(RS-458)，≥1个RS-232，≥1个USB-D通信接口，支持协议：VISCA协议，波特率：9600。</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311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教师特写摄像机</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1.高清摄像机采用高品质超长焦镜头，具备≥20倍光学变倍镜头，支持≥16倍数字变焦；采用≥1/2.8英寸、≥207万有效像素的高品质HD CMOS传感器。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2.镜头焦距f4.42mm ~ 88.5mm, 光圈系数F1.8 ~ F2.8。</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3.支持1080P60/50/30/25/59.94/29.97；1080I60/50/59.94；720P60/50/30/25/59.94/29.97分辨率，支持输出帧率≥60帧/秒。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4.具备≥1路HDMI和≥1路3G-SDI高清视频输出接口、支持CVBS标清输出，支持HDMI、SDI、网络≥三路可同时输出。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5.支持TCP/IP, HTTP, RTSP, RTMP, Onvif, DHCP, GB/T2818组播等协议。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6.支持RS232串口远程对摄像机进行控制（带环通RS-232输出），支持VISCA、PELCO-D、PELCO-P协议。支持多达≥255个预置位。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7.水平视场角：60.7° ~ 3.36°；支持水平转动范围：-170°～+170°，垂直转动范围：-30°～+90°，水平转动速度范围：1.7° ~ 100°/s ，垂直转动速度范围：1.7° ~ 69.9°/s。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8.采用2D、3D降噪技术，图像信噪比≥55dB；支持AAC音频编码。</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312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讲师4K双景摄像机</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1.配置4K Sensor和4K镜头，实现高清电子云台效果。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2.内置图像识别和跟踪算法。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3.全自动对焦无畸变镜头，广角视场高达≥46°。同时支持EPTZ。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4.全新CMOS图像传感器可降低在低照度情况下的图像噪声，同时应用2D和3D降噪算法，图像信噪比高达55dB以上。</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5.支持3G-SDI接口，有效传输距离最高长达≥150米（1080p30）。SDI、网络≥两路可同时输出。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6.支持POE（Power Over Ethernet）一 线通功能，电源、视频、音频、控制三线合一。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7.支持交织模式，可实现单摄像头同时输出全景和特写信号，实现一机双镜效果。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8.最高支持≥3840x2160@30fps分辨率编码网络流输出，并向下兼容。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9.≥1/2.5英寸CMOS, 有效像素≥851万，扫描方式：逐行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10.镜头：焦距: f=≥7.35mm, 水平视场角: ≥46°。</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313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学员4K双景摄像机</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1.配置4K Sensor和4K镜头，实现高清电子云台效果。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2.内置图像识别和跟踪算法支持≥8个的屏蔽区域。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3.全自动对焦无畸变镜头，广角视场高达≥120°。同时支持EPTZ。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4.CMOS图像传感器可有效降低在低照度情况下的图像噪声，同时应用2D和3D降噪算法，图像信噪比高达≥55dB。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5.支持3G-SDI接口，有效传输距离最高长达≥150米（1080p30）。SDI、网络≥两路可同时输出。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6.支持POE（Power Over Ethernet）一 线通功能，电源、视频、音频、控制三线合一。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7.支持交织模式，可实现单摄像头同时输出全景和特写信号，实现一机双镜效果。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8.最高支持3840x2160@30fps分辨率编码网络流输出，并向下兼容。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9.≥1/2.5英寸CMOS, 有效像素≥851万，扫描方式：逐行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10.镜头：焦距: f=≥3.5mm, 水平视场角:≥84°。</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314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五</w:t>
            </w:r>
          </w:p>
        </w:tc>
        <w:tc>
          <w:tcPr>
            <w:tcW w:w="308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其他材料</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19英寸标准机柜（24U）</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24U机柜，采用冷轧钢板，H1250mm*W600mm*D600mm、立柱≥2.0mm 。</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315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液晶电视电子班牌</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1.支持展示班级信息、日常信息、倒计时事件信息、学校通知公告、课表安排、考勤签到记录等，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2.处理器配置不低于1.8GHz，内存不低于2G，存储器不低于16GB。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3.显示屏≥21.5英寸LED光源,分辨率≥1920x1080 亮度≥350cd/m2；G+G电容屏，支持10点触摸，响应速度≤10ms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4.前置500万高清防曝光摄像头，支持人脸识别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5.支持WiFi，802.11b/g/n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6.内置读卡器，支持Mifare1 /typea/14443a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7.支持定时开关机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8.支持wmv、avi、flv、rm、rmvb、mpeg 、ts、mp4等视频格式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9.USB2.0≥2个，HDMI≥1个,RJ45≥1个，DC12V≥2个 耳机口≥1个，TF卡槽（最高支持≥128GB TF卡）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10.采用超薄机身设 计，要求厚度≤19.5mm</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316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可移动讲台</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移动多媒体钢制讲台，含多媒体控制器，≥1050mm*≥730mm*≥1000mm</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317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可移动讲台主机</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318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讲台单主机</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主机主频≥3.7GHz，内存≥8G DDR4，硬盘≥256G SSD。</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319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音频跳线：6.35mm大单芯-三芯卡侬头（公）(≥1.8m)</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320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音频跳线：三芯卡侬头（母）-三芯卡侬头（公）(≥1.8m)</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音频跳线：3.5mm接线头-6.35mm大单芯(≥3m)</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视频线</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 支持≥1080P，60HZ,长度≥20m</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符合国标，1*HDMI高清视频线</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57</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2.线缆外径：5.1±0.5mm；绝缘层：≥0.2mm；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144</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321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超六类4对非屏蔽电缆</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1.骨芯结构采用中心为十字芯设 计及23AWG线规，绝缘层采用高密度聚乙烯材料。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2.线缆外径：7.1±0.5mm；绝缘直径：1.12±0.05 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4.最大直流电阻：≤9.38Ω/100m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48</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322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15" w:hRule="atLeast"/>
        </w:trPr>
        <w:tc>
          <w:tcPr>
            <w:tcW w:w="45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8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EVJV双绞音响线</w:t>
            </w:r>
          </w:p>
        </w:tc>
        <w:tc>
          <w:tcPr>
            <w:tcW w:w="219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符合国标，EVJV2*≥2.5mm</w:t>
            </w:r>
          </w:p>
        </w:tc>
        <w:tc>
          <w:tcPr>
            <w:tcW w:w="29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38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30</w:t>
            </w:r>
          </w:p>
        </w:tc>
        <w:tc>
          <w:tcPr>
            <w:tcW w:w="3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4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323</w:t>
            </w:r>
          </w:p>
        </w:tc>
      </w:tr>
    </w:tbl>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4"/>
          <w:szCs w:val="24"/>
          <w:shd w:val="clear" w:fill="FFFFFF"/>
        </w:rPr>
        <w:t>10、其他功能室清单</w:t>
      </w:r>
    </w:p>
    <w:tbl>
      <w:tblPr>
        <w:tblStyle w:val="9"/>
        <w:tblW w:w="5142"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72"/>
        <w:gridCol w:w="1620"/>
        <w:gridCol w:w="3870"/>
        <w:gridCol w:w="510"/>
        <w:gridCol w:w="1304"/>
        <w:gridCol w:w="77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序号</w:t>
            </w:r>
          </w:p>
        </w:tc>
        <w:tc>
          <w:tcPr>
            <w:tcW w:w="914"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货物名 称</w:t>
            </w:r>
          </w:p>
        </w:tc>
        <w:tc>
          <w:tcPr>
            <w:tcW w:w="2185"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参数规格</w:t>
            </w:r>
          </w:p>
        </w:tc>
        <w:tc>
          <w:tcPr>
            <w:tcW w:w="28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单位</w:t>
            </w:r>
          </w:p>
        </w:tc>
        <w:tc>
          <w:tcPr>
            <w:tcW w:w="736"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数量</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技术评分项号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一</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教学研讨室</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75英寸电视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≥75英寸，屏幕比例16:9，屏幕分辨率超高清4K，响应时间≤8.5ms，色域值≥75%、屏占比≥97%，支持HDMI、USB，待机功率≤0.5W，电源功率≤220W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324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多媒体地插</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配置接口：≥1个多功能电源接口、≥2个RJ45网络、≥1个3.5音频、≥1个HDMI高清视频接口、≥一个功能按键。</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325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符合国标，1*HDMI高清视频线</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326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2.线缆外径：5.1±0.5mm；绝缘层：≥0.2mm；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285</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327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超六类4对非屏蔽电缆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1.骨芯结构采用中心为十字芯设 计及23AWG线规，绝缘层采用高密度聚乙烯材料。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2.线缆外径：7.1±0.5mm；绝缘直径：1.12±0.05 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4.最大直流电阻：≤9.38Ω/100m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84</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328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符合国标，管径≥25mm,壁厚≥1.0mm含固定卡扣、弯头、镙栓等</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120</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329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19英寸标准机柜（24U）</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24U机柜，采用冷轧钢板，H1250mm*W600mm*D600mm、立柱≥2.0mm 。</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音频跳线：RCA莲花-RCA莲花(≥10m)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二</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电子阅览室</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扩声系统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专业功放</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1.两声道功放有三档输入灵敏度选择（支持0.775V/1V/1.44V），可轻松接纳宽幅度范围信号源输入。输入座接地脚接地和悬浮控制。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2.采用强制散热设 计；具有安全保护措施和工作状态指示（短路、过载、直流和过热保护，变压器过热保护）。</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3.输出功率:立体声/并联8Ω:≥350W*2.立体声/并联4Ω:≥530W*2.桥接8Ω:1060W。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4、采用标准XLR+TRS1/4"复合多功能输入接口。智能削峰限幅器，控制功率模块及扬声器系统在安全范围内工作。</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天花喇叭</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1.采用≥6寸低音加≥1寸高音的同轴设 计方案。</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2.采用高档PP盘振膜，大口径磁路系统。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3.高音采用丝膜软球顶喇叭单元。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4.额定功率: ≥40W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6.灵敏度：90dB±3dB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7.频率响应(-10dB)：60Hz-20KHz</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抑制器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1.采用≥96KHz采样频率，32-bit DSP处理器，24-bitA/D及D/A转换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2.支持数字信号输入输出通道提供coaxial，AES及光纤接口。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3.支持≥144 x 32的LCD显示屏显示参数功能，提供≥6段LED显示输出电平；每通道≥24个LED灯显示啸叫抑制状态数量；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4.每通道支持压缩、限幅、噪声门、功能设置，可切换工作模式为直通或反馈抑制；可任意编辑固定和动态反馈点数量，可一键清除啸叫点；单机可存储≥30组用户程序。</w:t>
            </w:r>
            <w:r>
              <w:rPr>
                <w:rStyle w:val="11"/>
                <w:rFonts w:hint="eastAsia" w:ascii="宋体" w:hAnsi="宋体" w:eastAsia="宋体" w:cs="宋体"/>
                <w:b/>
                <w:bCs/>
                <w:color w:val="auto"/>
                <w:sz w:val="24"/>
                <w:szCs w:val="24"/>
              </w:rPr>
              <w:t>(需提供权威检测机构出具的检测报告复印件进行佐证)</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音频处理器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1.输入每通道：≥2路平衡式线路输入，采用标准卡侬接口，平衡接法。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2.输出每通道：≥6路平衡式线路输出，采用标准卡侬接口，平衡接法。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3.支持FIR滤波器。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4.内置数字音频处理算法：增益、延迟、EQ、混音矩阵、压缩器、分配和限幅器。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5.支持断电自动保护记忆功能。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6.支持通道联控功能。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7.支持USB和RJ45两种连接方式，实现PC软件控制，支持RS232控制。</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头戴手持无线话筒（一拖二）</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1.采用UHF超高频段双真分集接收，并采用PLL锁相环多信道频率合成技术；V/A显示屏在任何角度观察字体清晰同时显示信道号与工作频率。红外对频功能。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2.带≥8级射频电平显示，≥8级音频电平显示，频道菜单显示，静音显示；具有SCAN 自动扫频功能。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3.平衡和非平衡两种选择输出端口，适应不同的设备连接需求。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4.频率指标:640-830MHz，调制方式:宽带FM，提供各≥200个可调频率，共≥500个信道选择，真正分集式接收,有效避免断频现象和延长接收距离。工作距离约≥100m；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5.接收机指标：采用二次变频超外差的接收机方式，灵敏度: 12dB μV（80dBS/N)，灵敏度调节范围:12-32dB μV，频率响应:80Hz-18KHz（±3dB）。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6.包括有一台主机+一个头戴和一个手持话筒；发射机指标：音头采用动圈式麦克风，输出功率:3mW~30mW。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音频跳线：三芯卡侬头（母）-三芯卡侬头（公）(≥1.8m)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音频跳线：3.5mm接线头-6.35mm大单芯(≥3m)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控制主机</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DDR4，≥512G SSD，≥2G显存 独立显卡，显示器≥23英寸，鼠标*1、键盘*1。</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2.线缆外径：5.1±0.5mm；绝缘层：≥0.2mm；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2080</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339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超六类4对非屏蔽电缆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1.骨芯结构采用中心为十字芯设 计及23AWG线规，绝缘层采用高密度聚乙烯材料。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2.线缆外径：7.1±0.5mm；绝缘直径：1.12±0.05 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4.最大直流电阻：≤9.38Ω/100m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693</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19英寸标准机柜（24U）</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24U机柜，采用冷轧钢板，H1250mm*W600mm*D600mm、立柱≥2.0mm 。</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符合国标，管径≥25mm,壁厚≥1.0mm含固定卡扣、弯头、镙栓等</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36</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EVJV双绞音响线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符合国标，EVJV2*≥2.5mm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36</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三</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模拟法庭</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75英寸电视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≥75英寸，屏幕比例16:9，屏幕分辨率超高清4K，响应时间≤8.5ms，色域值≥75%、屏占比≥97%，支持HDMI、USB，待机功率≤0.5W，电源功率≤220W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B</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扩声系统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四通道数字功放</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1.采用D类功放设 计，支持开机软启动；支持智能削峰限幅器，控制功率模块及扬声器系统在安全范围内工作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2.内置低切开关选择的功能。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3.支持立体声或并接工作模式：输出功率支持立体声/并联8Ω×4：500W×4，支持立体声/并联4Ω×4：700W×4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4.采用标准XLR+TRS1/4" 复合多功能输入接口。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5.支持过压保护、欠压保护、过温压限、过流压限、直流保护、输出短路保护、温控风扇等功能。</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天花喇叭</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1.采用≥6寸低音加≥1寸高音的同轴设 计方案。</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2.采用高档PP盘振膜，大口径磁路系统。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3.高音采用丝膜软球顶喇叭单元。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4.额定功率: ≥40W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6.灵敏度：90dB±3dB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7.频率响应(-10dB)：60Hz-20KHz</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音频处理器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1.输入每通道：≥2路平衡式线路输入，采用标准卡侬接口，平衡接法。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2.输出每通道：≥6路平衡式线路输出，采用标准卡侬接口，平衡接法。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3.支持FIR滤波器。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4.内置数字音频处理算法：增益、延迟、EQ、混音矩阵、压缩器、分配和限幅器。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5.支持断电自动保护记忆功能。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6.支持通道联控功能。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7.支持USB和RJ45两种连接方式，实现PC软件控制，支持RS232控制。</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抑制器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1.采用≥96KHz采样频率，32-bit DSP处理器，24-bitA/D及D/A转换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2.支持数字信号输入输出通道提供coaxial，AES及光纤接口。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3.支持≥144 x 32的LCD显示屏显示参数功能，提供≥6段LED显示输出电平；每通道≥24个LED灯显示啸叫抑制状态数量；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4.每通道支持压缩、限幅、噪声门、功能设置，可切换工作模式为直通或反馈抑制；可任意编辑固定和动态反馈点数量，可一键清除啸叫点；单机可存储≥30组用户程序。</w:t>
            </w:r>
            <w:r>
              <w:rPr>
                <w:rStyle w:val="11"/>
                <w:rFonts w:hint="eastAsia" w:ascii="宋体" w:hAnsi="宋体" w:eastAsia="宋体" w:cs="宋体"/>
                <w:b/>
                <w:bCs/>
                <w:color w:val="auto"/>
                <w:sz w:val="24"/>
                <w:szCs w:val="24"/>
              </w:rPr>
              <w:t>(需提供权威检测机构出具的检测报告复印件进行佐证)</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头戴手持无线话筒（一拖二）</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1.采用UHF超高频段双真分集接收，并采用PLL锁相环多信道频率合成技术；V/A显示屏在任何角度观察字体清晰同时显示信道号与工作频率。红外对频功能。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2.带≥8级射频电平显示，≥8级音频电平显示，频道菜单显示，静音显示；具有SCAN 自动扫频功能。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3.平衡和非平衡两种选择输出端口，适应不同的设备连接需求。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4.频率指标:640-830MHz，调制方式:宽带FM，提供各≥200个可调频率，共≥500个信道选择，真正分集式接收,有效避免断频现象和延长接收距离。工作距离约≥100m；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5.接收机指标：采用二次变频超外差的接收机方式，灵敏度: 12dB μV（80dBS/N)，灵敏度调节范围:12-32dB μV，频率响应:80Hz-18KHz（±3dB）。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6.包括有一台主机+一个头戴和一个手持话筒；发射机指标：音头采用动圈式麦克风，输出功率:3mW~30mW。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无线鹅颈话筒（一拖四）</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1.采用PLL频率合成锁相环技术，微电脑集成中央处理器CPU总线控制系统。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2.兼容手动选频和红外自动对频锁定频道， 杂讯锁定静噪控制及音码锁定静噪控制。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3.V/A显示屏在任何角度观察字体清晰同时显示信道号与工作频率。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4.带≥8级射频电平显示，≥8级音频电平显示，频道菜单显示，静音显示。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5.使用640-830MHZ频段，每台接收机拥有≥200个可调频率。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6.支持平衡和非平衡两种选择输出端口。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7.包括有一台主机+四台桌面式无线麦克风</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349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音频跳线：6.35mm大单芯-三芯卡侬头（公）(≥1.8m)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音频跳线：三芯卡侬头（母）-三芯卡侬头（公）(≥1.8m)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音频跳线：3.5mm接线头-6.35mm大单芯(≥3m)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音频跳线：3.5mm接线头-双6.35mm大单芯(≥3m)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 支持≥1080P，60HZ ,长度≥20m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符合国标，1*HDMI高清视频线</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EVJV双绞音响线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符合国标，EVJV2*≥2.5mm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78</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超六类4对非屏蔽电缆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1.骨芯结构采用中心为十字芯设 计及23AWG线规，绝缘层采用高密度聚乙烯材料。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2.线缆外径：7.1±0.5mm；绝缘直径：1.12±0.05 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4.最大直流电阻：≤9.38Ω/100m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57</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2.线缆外径：5.1±0.5mm；绝缘层：≥0.2mm；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259</w:t>
            </w:r>
          </w:p>
        </w:tc>
        <w:tc>
          <w:tcPr>
            <w:tcW w:w="439"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19英寸标准机柜（24U）</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24U机柜，采用冷轧钢板，H1250mm*W600mm*D600mm、立柱≥2.0mm 。</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18</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符合国标，管径≥25mm,壁厚≥1.0mm含固定卡扣、弯头、镙栓等</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100</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四</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影音保健康复多功能厅</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98英寸电视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≥98英寸，屏幕比例16:9，刷屏率≥120Hz，屏幕分辨率超高清4K，色域标准NTSC</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响应时间≤8ms，色域值≥85%，支持HDR显示、支持HDMI、USB，待机功率≤0.5W，电源功率≤550W。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359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B</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扩声系统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主扩专业功放</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1.输出功率（20Hz-20KHz/THD≤1％）：立体声/并联8Ω×2：500W×2、立体声/并联4Ω×2：750W×2 、立体声/并联2Ω×2：1125W×2、桥接8Ω：≥1500W、桥接4Ω：≥2200W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 </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主扩专业音箱</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2.频响：50Hz~20KHz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3.额定功率：≥350W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4.灵敏度：≥99dB/W/M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6.高音：1.7"压缩高音单元×1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7.低音：12"低音×1</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后置专业功放</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1.输出功率（20Hz-20KHz/THD≤1％）：立体声/并联8Ω×2：500W×2、立体声/并联4Ω×2：750W×2 、立体声/并联2Ω×2：1125W×2、桥接8Ω：≥1500W、桥接4Ω：≥2200W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2.开机软启动，防止开机时向电网吸收大电流，干扰其它用电设备。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3.内置智能压限系统，控制功率模块及扬声器系统在安全范围内工作。 </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4.内置30Hz/50Hz高通滤波器。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5.多种模式：立体声、桥接、并行。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6.支持带≤2R低阻输出。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7.变压器和低阻大容量电解滤波，保证大动态工作正常运行。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8.H类高效的功率放大电路，完善可靠的安全保护措施和工作状态指示（短路、过载、直流和过热保护、变压器过热保护）。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9.连接座：XLR 、TRS接口</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后置专业音箱</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2.频响：55Hz~20KHz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3.额定功率：≥300W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4.灵敏度：≥98dB/W/M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6.高音：1.4"压缩高音单元×1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7.低音：10"低音×1</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整体伸缩长度：760mm~1260mm（每节增减50mm）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角度调节：170度~370度（每孔位调节10度）</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调音台</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1.支持≥8路麦克风输入兼容6路线路输入接口，支持≥2路立体声输入接口，≥4路RCA输入，话筒接口幻象电源：+48V。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2.具有≥2组立体主输出、≥4路编组输出、≥4路辅助输出、≥1组立体声监听输出、≥1个耳机监听输出、≥2个效果输出、≥1组主混音断点插入、≥6个断点插入。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3.内置≥24位DSP效果器，提供100种预设效果。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4.具备≥13个60mm行程的高精密碳膜推子。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5.内置USB声卡模块，支持连接电脑进行音乐播放和声音录音；内置MP3播放器，支持1个USB接口接U盘播放音乐。</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数字音频处理器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1.数字音频处理器支持≥8路平衡式话筒/线路输入通道，采用裸线接口端子，平衡接法；支持≥8路平衡式线路输出，采用裸线接口端子，平衡接法。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2、输入通道支持前级放大、信号发生器、扩展器、压缩器、≥5段参量均衡、AM自动混音功能、AFC自适应反馈消除、AEC回声消除、ANC噪声消除。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3.输出通道支持≥31段图示均衡器、延时器、分频器、高低通滤波器、限幅器。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4.支持24bit/48KHz的声音，支持输入通道48V幻象供电。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5.配置双向RS-232接口，可用于控制外部设备；配置RS-485接口，可实现自动摄像跟踪功能。配置≥8通道可编程GPIO控制接口（可自定义输入输出）。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6.支持断电自动保护记忆功能，联控功能。</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抑制器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1.采用≥96KHz采样频率，32-bit DSP处理器，24-bitA/D及D/A转换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2.支持数字信号输入输出通道提供coaxial，AES及光纤接口。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3.支持≥144 x 32的LCD显示屏显示参数功能，提供≥6段LED显示输出电平；每通道≥24个LED灯显示啸叫抑制状态数量；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4.每通道支持压缩、限幅、噪声门、功能设置，可切换工作模式为直通或反馈抑制；可任意编辑固定和动态反馈点数量，可一键清除啸叫点；单机可存储≥30组用户程序。</w:t>
            </w:r>
            <w:r>
              <w:rPr>
                <w:rStyle w:val="11"/>
                <w:rFonts w:hint="eastAsia" w:ascii="宋体" w:hAnsi="宋体" w:eastAsia="宋体" w:cs="宋体"/>
                <w:b/>
                <w:bCs/>
                <w:color w:val="auto"/>
                <w:sz w:val="24"/>
                <w:szCs w:val="24"/>
              </w:rPr>
              <w:t>(需提供权威检测机构出具的检测报告复印件进行佐证)</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专业无损播放器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1.专业无损数字播放器。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2.可通过SD卡、U盘、PC等多种存储进行选择。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3.可对APE,FLAC,WAV,MP3,WMA等多种格式的音频进行播放，最高支持≥24bit/96KHz解码，向下兼容。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4.≥96khz/24位采样率。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5.≥5英寸TFT真彩屏显示。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6.支持手机通过WIFI连接播放器，进行无损无线的播放。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7.多种接口输出。支持莲花座、XLR平衡模拟输出，同轴、光纤、AES3数字输出。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8.支持自定义歌曲编组保存，编曲播放。≥12组播放清单，每组清单可编程≥100首歌按顺序播放。</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9.支持列表顺序，列表循环，单曲循环，列表随机播放。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10.歌曲播放控制，全部支持快捷按键直接控制。</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蓝光DVD 3D播放机</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1.输入端口：USB2.0、百兆网络接口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3.HDMI1.4、AV、色差、5.1声道、同轴、光纤</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4.读取光盘格式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5.BD-ROM、BD-R/RE、DVD-Video、DVD+R/+RW(+VR)、DVD-R/-RW(VR/Video)、Video CD、SVCD、CD-DTS、CD、HDCD、CD-R/RW(CD-DA/Data)</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音频跳线：6.35mm大单芯-三芯卡侬头（公）(≥1.8m)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音频跳线：三芯卡侬头（母）-三芯卡侬头（公）(≥1.8m)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音频跳线：3.5mm接线头-6.35mm大单芯(≥3m)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音频跳线：3.5mm接线头-双6.35mm大单芯(≥3m)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16</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 支持≥1080P，60HZ ,长度≥20m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17</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EVJV双绞音响线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符合国标，EVJV2*≥2.5mm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54</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369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18</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2.线缆外径：5.1±0.5mm；绝缘层：≥0.2mm；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76</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370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19</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PVC阻燃线管</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符合国标，PVC管径≥25mm，壁厚≥1.0mm含固定卡扣、直接、弯头、胶水等</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24</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371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20</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19英寸标准机柜（24U）</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24U机柜，采用冷轧钢板，H1250mm*W600mm*D600mm、立柱≥2.0mm 。</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372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符合国标，管径≥25mm,壁厚≥1.0mm含固定卡扣、弯头、镙栓等</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24</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373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五</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综合楼五层修复室</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75英寸电视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≥75英寸，屏幕比例16:9，屏幕分辨率超高清4K，响应时间≤8.5ms，色域值≥75%、屏占比≥97%，支持HDMI、USB，待机功率≤0.5W，电源功率≤220W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374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超六类4对非屏蔽电缆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1.骨芯结构采用中心为十字芯设 计及23AWG线规，绝缘层采用高密度聚乙烯材料。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2.线缆外径：7.1±0.5mm；绝缘直径：1.12±0.05 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4.最大直流电阻：≤9.38Ω/100m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272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375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超五类4对非屏蔽电缆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1.芯数：4对8芯采用24AWG线规，绝缘层采用高密度聚乙烯材料。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2.线缆外径：5.1±0.5mm；绝缘层：≥0.2mm；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3.最小弯曲半径：≤8D；最大电容：≤ 5.6nF/100m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4.最大直流电阻：≤9.5Ω/100m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5.最大承受拉力：≥11.34kg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6.安装温度：零下30至50°C；工作温度：0~至50°C。</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70</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376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PVC阻燃线管</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符合国标，PVC≥25mm，壁厚≥1.0mm含固定卡扣、直接、弯头、胶水等</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70</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377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金属线管</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符合国标，≥25mm,壁厚≥1.0mm含固定卡扣、弯头、镙栓等</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70</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378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六</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综合楼五层党员活动室</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75英寸电视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≥75英寸，屏幕比例16:9，屏幕分辨率超高清4K，响应时间≤8.5ms，色域值≥75%、屏占比≥97%，支持HDMI、USB，待机功率≤0.5W，电源功率≤220W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379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三芯多股铜芯护套线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符合国标，RVV3*≥2.5mm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439"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380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符合国标，1*HDMI高清视频线</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EVJV双绞音响线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符合国标，EVJV2*≥2.5mm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30</w:t>
            </w:r>
          </w:p>
        </w:tc>
        <w:tc>
          <w:tcPr>
            <w:tcW w:w="439"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381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音频跳线：RCA莲花-RCA莲花(≥10m)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B</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扩声系统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专业功放</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1.两声道功放有三档输入灵敏度选择（支持0.775V/1V/1.44V），可轻松接纳宽幅度范围信号源输入。输入座接地脚接地和悬浮控制。</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2.采用强制散热设 计；具有安全保护措施和工作状态指示（短路、过载、直流和过热保护，变压器过热保护）。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3.输出功率:立体声/并联8Ω:≥350W*2.立体声/并联4Ω:≥530W*2.桥接8Ω:1060W。</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4、采用标准XLR+TRS1/4"复合多功能输入接口。智能削峰限幅器，控制功率模块及扬声器系统在安全范围内工作。</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专业音箱</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2.频响：60Hz~20KHz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4.灵敏度：≥96dB/W/M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6.高音：1.4"压缩高音单元×1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7.低音：8"低音×1</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382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1.固定面板尺寸（长*宽）：≥230mm*≥152mm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2.臂杆长度：≥230mm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3.箱体固定杆长度：≥155mm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383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音频处理器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1.输入每通道：≥2路平衡式线路输入，采用标准卡侬接口，平衡接法。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2.输出每通道：≥6路平衡式线路输出，采用标准卡侬接口，平衡接法。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3.支持FIR滤波器。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4.内置数字音频处理算法：增益、延迟、EQ、混音矩阵、压缩器、分配和限幅器。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5.支持断电自动保护记忆功能。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6.支持通道联控功能。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7.支持USB和RJ45两种连接方式，实现PC软件控制，支持RS232控制。</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384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抑制器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1.采用≥96KHz采样频率，32-bit DSP处理器，24-bitA/D及D/A转换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2.支持数字信号输入输出通道提供coaxial，AES及光纤接口。</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3.支持≥144 x 32的LCD显示屏显示参数功能，提供≥6段LED显示输出电平；每通道≥24个LED灯显示啸叫抑制状态数量；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4.每通道支持压缩、限幅、噪声门、功能设置，可切换工作模式为直通或反馈抑制；可任意编辑固定和动态反馈点数量，可一键清除啸叫点；单机可存储≥30组用户程序。</w:t>
            </w:r>
            <w:r>
              <w:rPr>
                <w:rStyle w:val="11"/>
                <w:rFonts w:hint="eastAsia" w:ascii="宋体" w:hAnsi="宋体" w:eastAsia="宋体" w:cs="宋体"/>
                <w:b/>
                <w:bCs/>
                <w:color w:val="auto"/>
                <w:sz w:val="24"/>
                <w:szCs w:val="24"/>
              </w:rPr>
              <w:t>(需提供权威检测机构出具的检测报告复印件进行佐证)</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头戴手持无线话筒（一拖二）</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1.采用UHF超高频段双真分集接收，并采用PLL锁相环多信道频率合成技术；V/A显示屏在任何角度观察字体清晰同时显示信道号与工作频率。红外对频功能。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2.带≥8级射频电平显示，≥8级音频电平显示，频道菜单显示，静音显示；具有SCAN 自动扫频功能。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3.平衡和非平衡两种选择输出端口，适应不同的设备连接需求。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4.频率指标:640-830MHz，调制方式:宽带FM，提供各≥200个可调频率，共≥500个信道选择，真正分集式接收,有效避免断频现象和延长接收距离。工作距离约≥100m；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5.接收机指标：采用二次变频超外差的接收机方式，灵敏度: 12dB μV（80dBS/N)，灵敏度调节范围:12-32dB μV，频率响应:80Hz-18KHz（±3dB）。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6.包括有一台主机+一个头戴和一个手持话筒；发射机指标：音头采用动圈式麦克风，输出功率:3mW~30mW。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无线鹅颈话筒（一拖二）</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1.采用PLL频率合成锁相环技术，微电脑集成中央处理器CPU总线控制系统。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2.兼容手动选频和红外自动对频锁定频道， 杂讯锁定静噪控制及音码锁定静噪控制。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3.V/A显示屏在任何角度观察字体清晰同时显示信道号与工作频率。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4.带≥8级射频电平显示，≥8级音频电平显示，频道菜单显示，静音显示。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5.使用640-830MHZ频段，每台接收机拥有≥200个可调频率。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6.支持平衡和非平衡两种选择输出端口。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7.包括有一台主机+两台桌面式无线麦克风</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385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386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多媒体地插</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配置接口：≥1个多功能电源接口、≥2个RJ45网络、≥1个3.5音频、≥1个HDMI高清视频接口、≥一个功能按键。</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387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音频跳线：6.35mm大单芯-三芯卡侬头（公）(≥1.8m)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388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音频跳线：三芯卡侬头（母）-三芯卡侬头（公）(≥1.8m)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音频跳线：3.5mm接线头-6.35mm大单芯(≥3m)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19英寸标准机柜（24U）</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24U机柜，采用冷轧钢板，H1250mm*W600mm*D600mm、立柱≥2.0mm 。</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389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 支持≥1080P，60HZ ,长度≥20m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390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七</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综合楼五层会议室</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0"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75英寸电视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≥75英寸，屏幕比例16:9，屏幕分辨率超高清4K，响应时间≤8.5ms，色域值≥75%、屏占比≥97%，支持HDMI、USB，待机功率≤0.5W，电源功率≤220W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391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三芯多股铜芯护套线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响应时间≥8ms，色域值≥75%、屏占比≥97%，支持HDR显示、HDMI、USB</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439"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392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HDMI高清视频线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符合国标，1*HDMI高清视频线</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EVJV双绞音响线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符合国标，EVJV2*≥2.5mm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米</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45</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音频跳线：RCA莲花-RCA莲花(≥10m)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B</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扩声系统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专业功放</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1.两声道功放有三档输入灵敏度选择（支持0.775V/1V/1.44V），可轻松接纳宽幅度范围信号源输入。输入座接地脚接地和悬浮控制。</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2.采用强制散热设 计；具有安全保护措施和工作状态指示（短路、过载、直流和过热保护，变压器过热保护）。</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3.输出功率:立体声/并联8Ω:≥350W*2.立体声/并联4Ω:≥530W*2.桥接8Ω:1060W。</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4、采用标准XLR+TRS1/4"复合多功能输入接口。智能削峰限幅器，控制功率模块及扬声器系统在安全范围内工作。</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专业音箱</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1.阻抗：8Ω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2.频响：60Hz~20KHz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3.额定功率：≥200W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4.灵敏度：≥96dB/W/M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5.覆盖角度：≥(H)80°≥(V)60°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6.高音：1.4"压缩高音单元×1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7.低音：8"低音×1</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393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1.固定面板尺寸（长*宽）：≥230mm*≥152mm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2.臂杆长度：≥230mm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3.箱体固定杆长度：≥155mm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394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音频处理器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1.输入每通道：≥2路平衡式线路输入，采用标准卡侬接口，平衡接法。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2.输出每通道：≥6路平衡式线路输出，采用标准卡侬接口，平衡接法。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3.支持FIR滤波器。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4.内置数字音频处理算法：增益、延迟、EQ、混音矩阵、压缩器、分配和限幅器。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5.支持断电自动保护记忆功能。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6.支持通道联控功能。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7.支持USB和RJ45两种连接方式，实现PC软件控制，支持RS232控制。</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395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头戴手持无线话筒（一拖二）</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1.采用UHF超高频段双真分集接收，并采用PLL锁相环多信道频率合成技术；V/A显示屏在任何角度观察字体清晰同时显示信道号与工作频率。红外对频功能。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2.带≥8级射频电平显示，≥8级音频电平显示，频道菜单显示，静音显示；具有SCAN 自动扫频功能。</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3.平衡和非平衡两种选择输出端口，适应不同的设备连接需求。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4.频率指标:640-830MHz，调制方式:宽带FM，提供各≥200个可调频率，共≥500个信道选择，真正分集式接收,有效避免断频现象和延长接收距离。工作距离约≥100m；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5.接收机指标：采用二次变频超外差的接收机方式，灵敏度: 12dB μV（80dBS/N)，灵敏度调节范围:12-32dB μV，频率响应:80Hz-18KHz（±3dB）。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6.包括有一台主机+一个头戴和一个手持话筒；发射机指标：音头采用动圈式麦克风，输出功率:3mW~30mW。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6</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无线鹅颈话筒（一拖二）</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1.采用PLL频率合成锁相环技术，微电脑集成中央处理器CPU总线控制系统。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2.兼容手动选频和红外自动对频锁定频道， 杂讯锁定静噪控制及音码锁定静噪控制。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3.V/A显示屏在任何角度观察字体清晰同时显示信道号与工作频率。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4.带≥8级射频电平显示，≥8级音频电平显示，频道菜单显示，静音显示。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5.使用640-830MHZ频段，每台接收机拥有≥200个可调频率。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6.支持平衡和非平衡两种选择输出端口。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7.包括有一台主机+两台桌面式无线麦克风</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396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7</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电源管理器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1.具有≥12路电源插座，支持≥6路10A的、≥6路16A的插座规格，总输出可达40A。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2.每路有单独的滤波器。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3.具有≥2路常开状态电源插座。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4.采用3芯单相的电源接线接口。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5.具备有数字电压指示功能，可实时的指示电网电压。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6.支持密码锁定功能。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7.具有通道延时编辑功能，可以自定义修改通道间的延时时间。集成RS485远程控制功能，支持通过USB、RS485、RS232、远程互联网控制（可选）等多样控制方式。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8.支持定时开关机任务的功能，定时时长最长可设置达≥12个月的定时开关机功能。</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397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8</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多媒体地插</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配置接口：≥1个多功能电源接口、≥2个RJ45网络、≥1个3.5音频、≥1个HDMI高清视频接口、≥一个功能按键。</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只</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398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音频跳线：6.35mm大单芯-三芯卡侬头（公）(≥1.8m)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399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音频跳线：三芯卡侬头（母）-三芯卡侬头（公）(≥1.8m)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音频连接线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音频跳线：3.5mm接线头-6.35mm大单芯(≥3m)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19英寸标准机柜（24U）</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24U机柜，采用冷轧钢板，H1250mm*W600mm*D600mm、立柱≥2.0mm 。</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400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视频线</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 支持≥1080P，60HZ,长度≥20m</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条</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401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C</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公安网视频会议</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移动式一体化双屏会议终端</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集成式设 计，内置麦克风、摄像机，高度一体化；可移动设 计，提供高效的会议室部署体验。领先的技术：超高清摄像机，采用≥1080p视频编解码技术，使会议图像；完美呈现高清辅流画面；支持回声抵消（AEC）、自动增益控制（AGC）和自动噪音、抑制（ANS）， 真实还原远端会场；支持无线投屏、本地录像、无线入网功能 智能的控制管理：</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402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高清视频会议终端</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1、采用≤H.265编解码协议时，支持1080p60、1080p30、720p60、720p30高清图像格式。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2、采用H.265编解码协议时，在保证主视1080p60fps前提下，辅视频也可以支持到1080p60fps。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3、支持≤4路高清视频输入接口、≤4路高清输出接口，接口需包括DVI-I、HDMI、VGA高清输入输出接口。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4、支持≤5进5出独立的音频输入输出接口，支持HDMI伴随音频输入输出功能。支持≤2个10/100/1000M以太网接口。</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403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制卡机</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彩色: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≤200张卡/小时(单面)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≤150张卡/小时(双面)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单色: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≤500~900张卡/小时(单面)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≤1300~450张卡小时(双面)</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404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八</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综合训练馆1楼实景街区(派出所)</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55英寸LCD液晶拼接屏</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1.单个屏幕尺寸：55英寸，≤3.5mm拼缝；最大分辨率：≥1920*1080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2.亮度：≥500cd/㎡，对比度：≥1200:1；平均无故障时间（MTBF）≥60000小时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设备响应时间≤8ms；</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3.单屏幕接口：VGA×1、 DVI×1 、HDMI×1、CVBS in×1、USB×1；RS232 in×1、RS232 out×2；屏幕支持3D降噪处理技术；功耗≤200W，待机功耗≤0.5W；配套对应数量的维护支架；</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4.内置图像处理芯片，能够实时分析显示内容资料，实现在影片、汇报和监控三种场景模式下智能；</w:t>
            </w:r>
            <w:r>
              <w:rPr>
                <w:rStyle w:val="11"/>
                <w:rFonts w:hint="eastAsia" w:ascii="宋体" w:hAnsi="宋体" w:eastAsia="宋体" w:cs="宋体"/>
                <w:b/>
                <w:bCs/>
                <w:color w:val="auto"/>
                <w:sz w:val="24"/>
                <w:szCs w:val="24"/>
              </w:rPr>
              <w:t>(需提供权威检测机构出具的检测报告复印件进行佐证)</w:t>
            </w:r>
          </w:p>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5.具有检测并匹配与输入信源相同的颜色空间的功能，使显示画面不丢失暗阶、亮阶细节； 具有实时分析当前画面亮度分布比例，自动调整亮度值的功能，具有动态调节画面对比度，可提高暗阶画面亮度，增强暗画面显示细节的功能。</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拼接器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具有≥10个HDMI输出接口、≥1个VGA输入接口、≥1个DVI输入接口、≥2个USB口、≥1个语音对讲输入、≥1个语音对讲输出、≥10个音频输出、≥8个报警输入、≥8个报警输出、≥1个RS485接口、≥5个CVBS输出接口（通过转接头实现）、≥1个RS232接口，≥2个千兆网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2.支持对输入的视频画面进行90°、180°、270°旋转显示。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支持PC 软件客户端、WEB 浏览器客户端、平台客户端、IPAD、可视化触控平台方式访问管理。 </w:t>
            </w:r>
            <w:r>
              <w:rPr>
                <w:rStyle w:val="11"/>
                <w:rFonts w:hint="eastAsia" w:ascii="宋体" w:hAnsi="宋体" w:eastAsia="宋体" w:cs="宋体"/>
                <w:b/>
                <w:bCs/>
                <w:color w:val="auto"/>
                <w:sz w:val="24"/>
                <w:szCs w:val="24"/>
              </w:rPr>
              <w:t>(需提供权威检测机构出具的检测报告复印件进行佐证)</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大屏线缆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处理器到大屏的HDMI线缆、电源排插等；</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套</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9</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405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控制主机</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DDR4，≥512G SSD，≥2G显存 独立显卡，显示器≥23英寸，鼠标*1、键盘*1。</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406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九</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宿舍楼一层餐厅</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显示系统</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65英寸电视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≥65英寸，屏幕比例16:9，屏幕分辨率超高清4K，响应时间≤8ms，色域值≥80%、屏占比≥97%，支持、HDMI、USB，待机功率≤0.5W，电源功率≤180W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407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55英寸电视</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≥55英寸，屏幕比例16:9，屏幕分辨率超高清4K，响应时间≤9.5ms，色域值≥80%、屏占比≥97%，支持、HDMI、USB，待机功率≤0.5W，电源功率≤130W</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408</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十</w:t>
            </w:r>
          </w:p>
        </w:tc>
        <w:tc>
          <w:tcPr>
            <w:tcW w:w="3099"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宿舍楼二楼出入口</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A</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rPr>
              <w:t>LED大屏显示系统 2.88m*1.92m=5.5296m2</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4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Style w:val="11"/>
                <w:rFonts w:hint="eastAsia" w:ascii="宋体" w:hAnsi="宋体" w:eastAsia="宋体" w:cs="宋体"/>
                <w:b/>
                <w:bCs/>
                <w:color w:val="auto"/>
                <w:sz w:val="24"/>
                <w:szCs w:val="24"/>
                <w:shd w:val="clear" w:fill="FFFF00"/>
              </w:rPr>
              <w:t>室内LED全彩显示屏P2.0（核心产品）</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1.LED显示屏灯珠选用表贴三合一铜线封装，LED封装形式：SMD1515黑灯。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2.LED显示屏单个像素由1R1G1B构成，LED显示屏单个模组尺寸256mm*128mm，模组重量≤0.255kg，模组平整度≤0.2mm；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3.LED显示屏采用≤2.0mm点间距，像素点密度≥250000点/m2；LED显示屏像素中心距相对偏差≤1%；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4.LED显示屏采用磁吸前维护，可正面拆卸模组、接收卡、电源，支持模组、接收卡等低压器件多次带电热插拔测试后都能正常工作；</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5.LED显示屏PCB板表面具备防潮/防尘/防静电/抗氧化等能力，支持共阳方案和共阴方案的兼容性设 计，可匹配相应LED、IC做共阳、共阴产品，多层电路板沉金工艺设 计，同时具有独特的消隐、节能处理、EMC处理、智能模组存储处理功能电路；</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6.具有过流、短路、过压、欠压的保护功能；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7.LED显示屏电源输入端使用电压比较器检测输入电压大小，输出端运用工业级高精度运放电路检测输出负载，能够精准检测输出电流和负载功率大小，有效保护电源使用稳定，不会出现黑屏，闪屏现象；</w:t>
            </w:r>
            <w:r>
              <w:rPr>
                <w:rStyle w:val="11"/>
                <w:rFonts w:hint="eastAsia" w:ascii="宋体" w:hAnsi="宋体" w:eastAsia="宋体" w:cs="宋体"/>
                <w:b/>
                <w:bCs/>
                <w:color w:val="auto"/>
                <w:sz w:val="24"/>
                <w:szCs w:val="24"/>
              </w:rPr>
              <w:t>(需提供权威检测机构出具的检测报告复印件进行佐证)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8.LED显示屏为提高显示屏色彩还原度，采用低亮高灰技术，亮度在60%时灰度≥12bit，亮度80%时灰度≥14bit，亮度100%时灰度≥16bit；</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9.LED显示屏色温1000K-10000K连续可调，可设冷色、暖色、标准等多档白场调节；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10.LED显示屏峰值功耗：≤650W/m2，平均功耗：≤217W/m2；</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5.5296</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2</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视频处理器</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1.支持≥3个窗口和≥1路OSD。</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2.支持快捷配屏和高级配屏功能。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3.支持HDMI、DVI输入分辨率自定义调节。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4.支持设备间备份设置。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5.视频输出最大带载高达≥390万像素，最大宽度≥10240像素，最大高度≥8192像素。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6.支持带载屏体亮度调节。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7.支持一键将优先级最低的窗口全屏自动缩放。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8.支持创建≥10个用户场景作为模板保存，方便使用。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9.支持选择HDMI输入源或DVI输入源作为同步信号，达到输出的场级同步。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10.前面板配备直观的LCD显示界面，清晰的按键灯提示，简化了系统的控制操作。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11.支持音频输入输出。</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1.00</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409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3</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配电柜</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1.额定功率：≥10kW，输出路数：≥3路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2.配电柜输入电压为交流380V±15%，或交流220V，工作频率50Hz。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3.具有过流、过压、短路、断路、过载、漏电、浪涌等保护功能。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4.内置避雷器，具有防雷冲击。</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5.含PLC模块远程控制功能，多时段定时功能、实时温度监控、电源检测、故障检测、上电断电，多台设备同时检测，具有TCP网口协议可对接中控。</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Style w:val="11"/>
                <w:rFonts w:hint="eastAsia" w:ascii="宋体" w:hAnsi="宋体" w:eastAsia="宋体" w:cs="宋体"/>
                <w:b/>
                <w:bCs/>
                <w:color w:val="auto"/>
                <w:sz w:val="24"/>
                <w:szCs w:val="24"/>
              </w:rPr>
              <w:t>410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4</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控制主机</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控制电脑主频≥2.9GHz，内存≥8G DDR4，硬盘≥512G SSD，≥2G显存 独立显卡，显示器≥23英寸，鼠标*1、键盘*1。</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台</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1</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411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35"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w:t>
            </w:r>
          </w:p>
        </w:tc>
        <w:tc>
          <w:tcPr>
            <w:tcW w:w="91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支架及其他材料</w:t>
            </w:r>
          </w:p>
        </w:tc>
        <w:tc>
          <w:tcPr>
            <w:tcW w:w="2185"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textAlignment w:val="center"/>
              <w:rPr>
                <w:color w:val="auto"/>
              </w:rPr>
            </w:pPr>
            <w:r>
              <w:rPr>
                <w:rFonts w:hint="eastAsia" w:ascii="宋体" w:hAnsi="宋体" w:eastAsia="宋体" w:cs="宋体"/>
                <w:color w:val="auto"/>
                <w:sz w:val="24"/>
                <w:szCs w:val="24"/>
              </w:rPr>
              <w:t>定制整体框架结构，不锈钢包边，具体要根据现场的尺寸及图纸来订制</w:t>
            </w:r>
          </w:p>
        </w:tc>
        <w:tc>
          <w:tcPr>
            <w:tcW w:w="28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m2</w:t>
            </w:r>
          </w:p>
        </w:tc>
        <w:tc>
          <w:tcPr>
            <w:tcW w:w="73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textAlignment w:val="center"/>
              <w:rPr>
                <w:color w:val="auto"/>
              </w:rPr>
            </w:pPr>
            <w:r>
              <w:rPr>
                <w:rFonts w:hint="eastAsia" w:ascii="宋体" w:hAnsi="宋体" w:eastAsia="宋体" w:cs="宋体"/>
                <w:color w:val="auto"/>
                <w:sz w:val="24"/>
                <w:szCs w:val="24"/>
              </w:rPr>
              <w:t>5.53</w:t>
            </w:r>
          </w:p>
        </w:tc>
        <w:tc>
          <w:tcPr>
            <w:tcW w:w="4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line="300" w:lineRule="atLeast"/>
              <w:ind w:left="0" w:right="0" w:firstLine="0"/>
              <w:jc w:val="center"/>
              <w:rPr>
                <w:color w:val="auto"/>
              </w:rPr>
            </w:pPr>
            <w:r>
              <w:rPr>
                <w:rStyle w:val="11"/>
                <w:rFonts w:hint="eastAsia" w:ascii="宋体" w:hAnsi="宋体" w:eastAsia="宋体" w:cs="宋体"/>
                <w:b/>
                <w:bCs/>
                <w:color w:val="auto"/>
                <w:sz w:val="24"/>
                <w:szCs w:val="24"/>
              </w:rPr>
              <w:t>412</w:t>
            </w:r>
          </w:p>
        </w:tc>
      </w:tr>
    </w:tbl>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Style w:val="11"/>
          <w:rFonts w:hint="eastAsia" w:ascii="宋体" w:hAnsi="宋体" w:eastAsia="宋体" w:cs="宋体"/>
          <w:b/>
          <w:bCs/>
          <w:i w:val="0"/>
          <w:iCs w:val="0"/>
          <w:caps w:val="0"/>
          <w:color w:val="auto"/>
          <w:spacing w:val="0"/>
          <w:sz w:val="24"/>
          <w:szCs w:val="24"/>
          <w:shd w:val="clear" w:fill="FFFFFF"/>
        </w:rPr>
        <w:t>注：以上技术参数中涉及到固定的尺寸、体积、重量在不影响技术指标情况下允许正负偏离1%。</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三、商务条件</w:t>
      </w:r>
      <w:r>
        <w:rPr>
          <w:rStyle w:val="11"/>
          <w:rFonts w:hint="eastAsia" w:ascii="宋体" w:hAnsi="宋体" w:eastAsia="宋体" w:cs="宋体"/>
          <w:b/>
          <w:bCs/>
          <w:i w:val="0"/>
          <w:iCs w:val="0"/>
          <w:caps w:val="0"/>
          <w:color w:val="auto"/>
          <w:spacing w:val="0"/>
          <w:sz w:val="24"/>
          <w:szCs w:val="24"/>
          <w:shd w:val="clear" w:fill="FFFFFF"/>
        </w:rPr>
        <w:t>（以“★”标示的内容为不允许负偏离的实质性要求）</w:t>
      </w:r>
    </w:p>
    <w:p>
      <w:pPr>
        <w:pStyle w:val="8"/>
        <w:keepNext w:val="0"/>
        <w:keepLines w:val="0"/>
        <w:widowControl/>
        <w:suppressLineNumbers w:val="0"/>
        <w:spacing w:before="76" w:beforeAutospacing="0" w:after="76" w:afterAutospacing="0"/>
        <w:ind w:left="-362" w:right="-362" w:firstLine="0"/>
        <w:rPr>
          <w:color w:val="auto"/>
        </w:rPr>
      </w:pPr>
      <w:r>
        <w:rPr>
          <w:rStyle w:val="11"/>
          <w:rFonts w:hint="eastAsia" w:ascii="宋体" w:hAnsi="宋体" w:eastAsia="宋体" w:cs="宋体"/>
          <w:b/>
          <w:bCs/>
          <w:i w:val="0"/>
          <w:iCs w:val="0"/>
          <w:caps w:val="0"/>
          <w:color w:val="auto"/>
          <w:spacing w:val="0"/>
          <w:sz w:val="24"/>
          <w:szCs w:val="24"/>
          <w:shd w:val="clear" w:fill="FFFFFF"/>
        </w:rPr>
        <w:t>包：1</w:t>
      </w:r>
      <w:r>
        <w:rPr>
          <w:rStyle w:val="11"/>
          <w:rFonts w:hint="eastAsia" w:ascii="宋体" w:hAnsi="宋体" w:eastAsia="宋体" w:cs="宋体"/>
          <w:b/>
          <w:bCs/>
          <w:i w:val="0"/>
          <w:iCs w:val="0"/>
          <w:caps w:val="0"/>
          <w:color w:val="auto"/>
          <w:spacing w:val="0"/>
          <w:sz w:val="24"/>
          <w:szCs w:val="24"/>
          <w:shd w:val="clear" w:fill="FFFFFF"/>
        </w:rPr>
        <w:br w:type="textWrapping"/>
      </w:r>
      <w:r>
        <w:rPr>
          <w:rStyle w:val="11"/>
          <w:rFonts w:hint="eastAsia" w:ascii="宋体" w:hAnsi="宋体" w:eastAsia="宋体" w:cs="宋体"/>
          <w:b/>
          <w:bCs/>
          <w:i w:val="0"/>
          <w:iCs w:val="0"/>
          <w:caps w:val="0"/>
          <w:color w:val="auto"/>
          <w:spacing w:val="0"/>
          <w:sz w:val="24"/>
          <w:szCs w:val="24"/>
          <w:shd w:val="clear" w:fill="FFFFFF"/>
        </w:rPr>
        <w:t>1、交付地点：福建省宁德市蕉城区采购人指定地点</w:t>
      </w:r>
      <w:r>
        <w:rPr>
          <w:rStyle w:val="11"/>
          <w:rFonts w:hint="eastAsia" w:ascii="宋体" w:hAnsi="宋体" w:eastAsia="宋体" w:cs="宋体"/>
          <w:b/>
          <w:bCs/>
          <w:i w:val="0"/>
          <w:iCs w:val="0"/>
          <w:caps w:val="0"/>
          <w:color w:val="auto"/>
          <w:spacing w:val="0"/>
          <w:sz w:val="24"/>
          <w:szCs w:val="24"/>
          <w:shd w:val="clear" w:fill="FFFFFF"/>
        </w:rPr>
        <w:br w:type="textWrapping"/>
      </w:r>
      <w:r>
        <w:rPr>
          <w:rStyle w:val="11"/>
          <w:rFonts w:hint="eastAsia" w:ascii="宋体" w:hAnsi="宋体" w:eastAsia="宋体" w:cs="宋体"/>
          <w:b/>
          <w:bCs/>
          <w:i w:val="0"/>
          <w:iCs w:val="0"/>
          <w:caps w:val="0"/>
          <w:color w:val="auto"/>
          <w:spacing w:val="0"/>
          <w:sz w:val="24"/>
          <w:szCs w:val="24"/>
          <w:shd w:val="clear" w:fill="FFFFFF"/>
        </w:rPr>
        <w:t>2、交付时间：合同签订后 (90) 日历日内完成项目建设并完成初验</w:t>
      </w:r>
      <w:r>
        <w:rPr>
          <w:rStyle w:val="11"/>
          <w:rFonts w:hint="eastAsia" w:ascii="宋体" w:hAnsi="宋体" w:eastAsia="宋体" w:cs="宋体"/>
          <w:b/>
          <w:bCs/>
          <w:i w:val="0"/>
          <w:iCs w:val="0"/>
          <w:caps w:val="0"/>
          <w:color w:val="auto"/>
          <w:spacing w:val="0"/>
          <w:sz w:val="24"/>
          <w:szCs w:val="24"/>
          <w:shd w:val="clear" w:fill="FFFFFF"/>
        </w:rPr>
        <w:br w:type="textWrapping"/>
      </w:r>
      <w:r>
        <w:rPr>
          <w:rStyle w:val="11"/>
          <w:rFonts w:hint="eastAsia" w:ascii="宋体" w:hAnsi="宋体" w:eastAsia="宋体" w:cs="宋体"/>
          <w:b/>
          <w:bCs/>
          <w:i w:val="0"/>
          <w:iCs w:val="0"/>
          <w:caps w:val="0"/>
          <w:color w:val="auto"/>
          <w:spacing w:val="0"/>
          <w:sz w:val="24"/>
          <w:szCs w:val="24"/>
          <w:shd w:val="clear" w:fill="FFFFFF"/>
        </w:rPr>
        <w:t>3、交付条件：验收合格后</w:t>
      </w:r>
      <w:r>
        <w:rPr>
          <w:rStyle w:val="11"/>
          <w:rFonts w:hint="eastAsia" w:ascii="宋体" w:hAnsi="宋体" w:eastAsia="宋体" w:cs="宋体"/>
          <w:b/>
          <w:bCs/>
          <w:i w:val="0"/>
          <w:iCs w:val="0"/>
          <w:caps w:val="0"/>
          <w:color w:val="auto"/>
          <w:spacing w:val="0"/>
          <w:sz w:val="24"/>
          <w:szCs w:val="24"/>
          <w:shd w:val="clear" w:fill="FFFFFF"/>
        </w:rPr>
        <w:br w:type="textWrapping"/>
      </w:r>
      <w:r>
        <w:rPr>
          <w:rStyle w:val="11"/>
          <w:rFonts w:hint="eastAsia" w:ascii="宋体" w:hAnsi="宋体" w:eastAsia="宋体" w:cs="宋体"/>
          <w:b/>
          <w:bCs/>
          <w:i w:val="0"/>
          <w:iCs w:val="0"/>
          <w:caps w:val="0"/>
          <w:color w:val="auto"/>
          <w:spacing w:val="0"/>
          <w:sz w:val="24"/>
          <w:szCs w:val="24"/>
          <w:shd w:val="clear" w:fill="FFFFFF"/>
        </w:rPr>
        <w:t>4、是否收取履约保证金： 是。履约保证金百分比：10%。说明：中标人须在合同签订后7个工作日内向采购人提交中标金额10%的银行保函作为履约保证金，验收合格后转为质保金。</w:t>
      </w:r>
      <w:r>
        <w:rPr>
          <w:rStyle w:val="11"/>
          <w:rFonts w:hint="eastAsia" w:ascii="宋体" w:hAnsi="宋体" w:eastAsia="宋体" w:cs="宋体"/>
          <w:b/>
          <w:bCs/>
          <w:i w:val="0"/>
          <w:iCs w:val="0"/>
          <w:caps w:val="0"/>
          <w:color w:val="auto"/>
          <w:spacing w:val="0"/>
          <w:sz w:val="24"/>
          <w:szCs w:val="24"/>
          <w:shd w:val="clear" w:fill="FFFFFF"/>
        </w:rPr>
        <w:br w:type="textWrapping"/>
      </w:r>
      <w:r>
        <w:rPr>
          <w:rStyle w:val="11"/>
          <w:rFonts w:hint="eastAsia" w:ascii="宋体" w:hAnsi="宋体" w:eastAsia="宋体" w:cs="宋体"/>
          <w:b/>
          <w:bCs/>
          <w:i w:val="0"/>
          <w:iCs w:val="0"/>
          <w:caps w:val="0"/>
          <w:color w:val="auto"/>
          <w:spacing w:val="0"/>
          <w:sz w:val="24"/>
          <w:szCs w:val="24"/>
          <w:shd w:val="clear" w:fill="FFFFFF"/>
        </w:rPr>
        <w:t>5、是否邀请投标人参与验收：否</w:t>
      </w:r>
      <w:r>
        <w:rPr>
          <w:rStyle w:val="11"/>
          <w:rFonts w:hint="eastAsia" w:ascii="宋体" w:hAnsi="宋体" w:eastAsia="宋体" w:cs="宋体"/>
          <w:b/>
          <w:bCs/>
          <w:i w:val="0"/>
          <w:iCs w:val="0"/>
          <w:caps w:val="0"/>
          <w:color w:val="auto"/>
          <w:spacing w:val="0"/>
          <w:sz w:val="24"/>
          <w:szCs w:val="24"/>
          <w:shd w:val="clear" w:fill="FFFFFF"/>
        </w:rPr>
        <w:br w:type="textWrapping"/>
      </w:r>
      <w:r>
        <w:rPr>
          <w:rStyle w:val="11"/>
          <w:rFonts w:hint="eastAsia" w:ascii="宋体" w:hAnsi="宋体" w:eastAsia="宋体" w:cs="宋体"/>
          <w:b/>
          <w:bCs/>
          <w:i w:val="0"/>
          <w:iCs w:val="0"/>
          <w:caps w:val="0"/>
          <w:color w:val="auto"/>
          <w:spacing w:val="0"/>
          <w:sz w:val="24"/>
          <w:szCs w:val="24"/>
          <w:shd w:val="clear" w:fill="FFFFFF"/>
        </w:rPr>
        <w:t>6、验收方式数据表格</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83"/>
        <w:gridCol w:w="673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详见招标文件</w:t>
            </w:r>
          </w:p>
        </w:tc>
      </w:tr>
    </w:tbl>
    <w:p>
      <w:pPr>
        <w:keepNext w:val="0"/>
        <w:keepLines w:val="0"/>
        <w:widowControl/>
        <w:suppressLineNumbers w:val="0"/>
        <w:spacing w:before="0" w:beforeAutospacing="0" w:after="0" w:afterAutospacing="0"/>
        <w:ind w:left="-362" w:right="-362"/>
        <w:jc w:val="left"/>
        <w:rPr>
          <w:rStyle w:val="11"/>
          <w:rFonts w:hint="eastAsia" w:ascii="宋体" w:hAnsi="宋体" w:eastAsia="宋体" w:cs="宋体"/>
          <w:bCs/>
          <w:i w:val="0"/>
          <w:iCs w:val="0"/>
          <w:caps w:val="0"/>
          <w:color w:val="auto"/>
          <w:spacing w:val="0"/>
          <w:kern w:val="0"/>
          <w:sz w:val="24"/>
          <w:szCs w:val="24"/>
          <w:shd w:val="clear" w:fill="FFFFFF"/>
          <w:lang w:val="en-US" w:eastAsia="zh-CN" w:bidi="ar"/>
        </w:rPr>
      </w:pPr>
      <w:r>
        <w:rPr>
          <w:rStyle w:val="11"/>
          <w:rFonts w:hint="eastAsia" w:ascii="宋体" w:hAnsi="宋体" w:eastAsia="宋体" w:cs="宋体"/>
          <w:bCs/>
          <w:i w:val="0"/>
          <w:iCs w:val="0"/>
          <w:caps w:val="0"/>
          <w:color w:val="auto"/>
          <w:spacing w:val="0"/>
          <w:kern w:val="0"/>
          <w:sz w:val="24"/>
          <w:szCs w:val="24"/>
          <w:shd w:val="clear" w:fill="FFFFFF"/>
          <w:lang w:val="en-US" w:eastAsia="zh-CN" w:bidi="ar"/>
        </w:rPr>
        <w:t>7、支付方式数据表格</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83"/>
        <w:gridCol w:w="1683"/>
        <w:gridCol w:w="505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建设项目施工合同签订，中标人向采购人提供银行保函后支付中标工程款总额的20%；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建设项目通过初验后，支付中标工程款总额的30%；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50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建设项目通过终验后，支付中标工程款总额的50%；</w:t>
            </w:r>
          </w:p>
        </w:tc>
      </w:tr>
    </w:tbl>
    <w:p>
      <w:pPr>
        <w:pStyle w:val="8"/>
        <w:keepNext w:val="0"/>
        <w:keepLines w:val="0"/>
        <w:widowControl/>
        <w:suppressLineNumbers w:val="0"/>
        <w:spacing w:before="0" w:beforeAutospacing="0" w:after="150" w:afterAutospacing="0" w:line="293" w:lineRule="atLeast"/>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8、技术服务要求</w:t>
      </w:r>
    </w:p>
    <w:p>
      <w:pPr>
        <w:pStyle w:val="8"/>
        <w:keepNext w:val="0"/>
        <w:keepLines w:val="0"/>
        <w:widowControl/>
        <w:suppressLineNumbers w:val="0"/>
        <w:spacing w:before="76" w:beforeAutospacing="0" w:after="76" w:afterAutospacing="0" w:line="293" w:lineRule="atLeast"/>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8.1、安装和调试：</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8.1.1货物到达现场后，中标人应在接到采购人通知7天内派技术人员到现场按照采购人提供的设 计方案和图纸进行安装、调试至项目验收合格。中标人人员在进行安装、调试期间所发生的费用由</w:t>
      </w:r>
      <w:bookmarkStart w:id="0" w:name="_GoBack"/>
      <w:bookmarkEnd w:id="0"/>
      <w:r>
        <w:rPr>
          <w:rFonts w:hint="eastAsia" w:ascii="宋体" w:hAnsi="宋体" w:eastAsia="宋体" w:cs="宋体"/>
          <w:i w:val="0"/>
          <w:iCs w:val="0"/>
          <w:caps w:val="0"/>
          <w:color w:val="auto"/>
          <w:spacing w:val="0"/>
          <w:sz w:val="24"/>
          <w:szCs w:val="24"/>
          <w:shd w:val="clear" w:fill="FFFFFF"/>
        </w:rPr>
        <w:t>中标人承担。</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8.1.2中标人应在货物运抵现场一周前，向采购人提供安装、调试及试运行的进度计划表。</w:t>
      </w:r>
    </w:p>
    <w:p>
      <w:pPr>
        <w:pStyle w:val="8"/>
        <w:keepNext w:val="0"/>
        <w:keepLines w:val="0"/>
        <w:widowControl/>
        <w:suppressLineNumbers w:val="0"/>
        <w:spacing w:before="76" w:beforeAutospacing="0" w:after="76" w:afterAutospacing="0" w:line="293" w:lineRule="atLeast"/>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8.2、技术培训</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按照项目进度安排，培训根据建设进度不同分两个阶段进行。培训内容主要包括系统管理技术培训和业务操作培训，培训对象主要包括系统管理员和使用人员。对系统管理员培训系统相关软硬件、数据的日常管理及维护、系统的日常运维与设置等；对使用人员进行系统使用操作、查询统计、安全使用等方面进行培训，以确保其对业务系统能够正常、有效地使用。 </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培训要求基于部署后的真实环境进行，培训对象需进行现场模拟操作并考核培训效果。</w:t>
      </w:r>
    </w:p>
    <w:p>
      <w:pPr>
        <w:pStyle w:val="8"/>
        <w:keepNext w:val="0"/>
        <w:keepLines w:val="0"/>
        <w:widowControl/>
        <w:suppressLineNumbers w:val="0"/>
        <w:spacing w:before="76" w:beforeAutospacing="0" w:after="76" w:afterAutospacing="0" w:line="293" w:lineRule="atLeast"/>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8.3、售后服务</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8.3.1、本项目自竣工验收合格之日起，项目所有建设内容均提供3年免费保修，维保期间至少派遣1名维保人员驻校提供保障服务。</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8.3.2、系统运维人员要求</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中标人应针对宁德市人民警察训练基地信息化建设项目成立专门的运维团队和项目管理机构，负责保障服务期内宁德市人民警察训练基地信息化建设项目安全、稳定地运行。明确运维团队组织、人员及素质、工作流程，须建立详细的运行维护保障体系，并提供方案。</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系统运维团队须具备业务应用系统和数据中心以及安全系统工程设 计、实施和维护能力，熟练掌握应用、网络、系统、存储、安全相关技术。</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8.3.3、系统维保工作要求</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要求系统应在3年维保期内，提供定期（至少每个季度一次）巡检服务，要求针对业务应用系统和数据中心以及安全系统制定合理巡检方案，了解系统的运行状态，解决存在的问题，每次巡检均要求出具巡检报告。</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对网络、系统、存储备份等数据中心重点设备的维护工作，采取分工负责的措施；节假日或有重要会议及有关活动期间，应专门安排值班，同时作好系统应急准备工作，必要时安排专人在现场值班，以确保系统正常运行。</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8.3.4、维保服务响应要求</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中标人应提供服务期内详细的系统运行维护保障服务方案，包括服务内容、服务形式和服务保障措施。运维服务方案应完全满足以下具体要求：</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①质量保证：服务期内应保障系统能以满足系统要求的性能有效运行，保障过程中涉及的软硬件升级、更换、维修等所产生的费用均包含在运维费用内。</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②定期巡检：至少每个季度一次对系统和关键设备进行巡检，写出巡检报告并提供给宁德市人民警察训练基地；对软硬件进行安检等维护，对系统进行优化等。</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③热线服务：服务期内，应设立7×24小时热线服务电话，受理故障申告、技术咨询。在收到故障申告后，必须按要求及时解决。</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8.3.5、投标人视自身能力在投标文件中提供更优、更合理的维修服务承诺。</w:t>
      </w:r>
    </w:p>
    <w:p>
      <w:pPr>
        <w:pStyle w:val="8"/>
        <w:keepNext w:val="0"/>
        <w:keepLines w:val="0"/>
        <w:widowControl/>
        <w:suppressLineNumbers w:val="0"/>
        <w:spacing w:before="76" w:beforeAutospacing="0" w:after="76" w:afterAutospacing="0" w:line="293" w:lineRule="atLeast"/>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8.4、验收要求</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8.4.1 合同签订后 90日历日内完成项目建设并进行初步验收，初验后进入试运行；完成系统应用及技术培训，软硬件第三方测试；进行项目竣工验收准备，通过宁德市人民警察训练基地组织的项目终验。验收所发生的一切费用由中标人承担。</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8.4.2、具体验收要求：</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①验收标准需按《招标文件》第五章招标内容及要求、《宁德市人民警察训练基地信息化建设项目设 计方案》的设 计要求、中标人《投标文件》中对《招标文件》第五章招标内容及要求对应的响应内容及政府采购合同进行验收。产品质量达到设 计要求，安装调试各项指标符合验收标准要求。</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②宁德市人民警察训练基地信息化建设项目验收原则上采取现场验收的方式。</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③除设备安装、调试纪录外，验收还应制定细致、全面的测试方案，并在项目执行过程中，分阶段严格测试，以确保项目工程质量。</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④验收组由业主单位、中标人、实施单位等成员共同组成。验收组成员本着严肃认真、实事求是的态度，验收意见力求公正、全面、准确；并对验收工程提供资料的完整性、规范性和评语的正确性负责。</w:t>
      </w:r>
    </w:p>
    <w:p>
      <w:pPr>
        <w:pStyle w:val="8"/>
        <w:keepNext w:val="0"/>
        <w:keepLines w:val="0"/>
        <w:widowControl/>
        <w:suppressLineNumbers w:val="0"/>
        <w:spacing w:before="76" w:beforeAutospacing="0" w:after="76"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⑤验收分初步验收和竣工验收两部分，初步验收合格后进入系统试运行（一般为三个月），试运行期满后三个月内项目竣工完成验收。在试运行期满时，若因中标人原因，系统未达到规定指标和要求，试运行期顺延，中标人有责任尽快解决问题以满足项目竣工验收条件。系统试运行期满且整体运行正常稳定，系统建设整体符合该项目《宁德市人民警察训练基地信息化建设项目设 计方案》的设 计要求、《招标文件》的第五章招标内容及要求、中标人《投标文件》中对《招标文件》第五章招标内容及要求对应的响应内容及政府采购合同要求。同时，中标人须在试运行期满前通过本项目测试服务单位对本项目的第三方整体测评、安全等保定级测评及第三方密评。满足上述条件后，中标人提出合同验收申请，该验收由采购人按《宁德市公安科技信息化项目建设管理办法》组织有关部门一同进行合同验收并出具验收报告书。中标人应积极配合验收工作，并负责在该验收时将系统的全部有关技术文件、资料及安装、测试报告、试运行报告、总结报告等文档装订成册交付采购人。若没有通过合同验收的，中标人应在 15 个日历日内完成整改和优化，并再次书面提出该验收申请，直至通过该验收为止。</w:t>
      </w:r>
    </w:p>
    <w:p>
      <w:pPr>
        <w:pStyle w:val="8"/>
        <w:keepNext w:val="0"/>
        <w:keepLines w:val="0"/>
        <w:widowControl/>
        <w:suppressLineNumbers w:val="0"/>
        <w:spacing w:before="0" w:beforeAutospacing="0" w:after="150" w:afterAutospacing="0" w:line="293" w:lineRule="atLeast"/>
        <w:ind w:left="-362" w:right="-362" w:firstLine="480"/>
        <w:rPr>
          <w:color w:val="auto"/>
        </w:rPr>
      </w:pPr>
      <w:r>
        <w:rPr>
          <w:rStyle w:val="11"/>
          <w:rFonts w:hint="eastAsia" w:ascii="宋体" w:hAnsi="宋体" w:eastAsia="宋体" w:cs="宋体"/>
          <w:b/>
          <w:bCs/>
          <w:i w:val="0"/>
          <w:iCs w:val="0"/>
          <w:caps w:val="0"/>
          <w:color w:val="auto"/>
          <w:spacing w:val="0"/>
          <w:sz w:val="24"/>
          <w:szCs w:val="24"/>
          <w:shd w:val="clear" w:fill="FFFFFF"/>
        </w:rPr>
        <w:t>9、违约责任</w:t>
      </w:r>
    </w:p>
    <w:p>
      <w:pPr>
        <w:pStyle w:val="8"/>
        <w:keepNext w:val="0"/>
        <w:keepLines w:val="0"/>
        <w:widowControl/>
        <w:suppressLineNumbers w:val="0"/>
        <w:spacing w:before="0" w:beforeAutospacing="0" w:after="150"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9.1、中标人中标 后，不得以任何名义和理由进行分包或转包。如有发现，视为违约，采购人有权单方终止合同，对采购人造成损失的，需另行支付相应的赔偿。</w:t>
      </w:r>
    </w:p>
    <w:p>
      <w:pPr>
        <w:pStyle w:val="8"/>
        <w:keepNext w:val="0"/>
        <w:keepLines w:val="0"/>
        <w:widowControl/>
        <w:suppressLineNumbers w:val="0"/>
        <w:spacing w:before="0" w:beforeAutospacing="0" w:after="150"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9.2、因中标人原因造成采购合同无法按时签订，视为中标人违约，对采购人造成的损失，需另行支付相应的赔偿。</w:t>
      </w:r>
    </w:p>
    <w:p>
      <w:pPr>
        <w:pStyle w:val="8"/>
        <w:keepNext w:val="0"/>
        <w:keepLines w:val="0"/>
        <w:widowControl/>
        <w:suppressLineNumbers w:val="0"/>
        <w:spacing w:before="0" w:beforeAutospacing="0" w:after="150" w:afterAutospacing="0" w:line="293"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9.3、在签定采购合同之后，不得解除合同，中标人要求解除合同的，视为中标人违约，对采购人造成的损失，需另行支付相应的赔偿。</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    9.4、若因中标人原因造成初验或终验无法在规定期限内完成，则每拖延1天，扣除合同金额的千分之三作为违约金处罚。违约金不足以弥补中标人违约造成的损失的，中标人须赔偿超过违约金数额的损失。</w:t>
      </w:r>
    </w:p>
    <w:p>
      <w:pPr>
        <w:pStyle w:val="8"/>
        <w:keepNext w:val="0"/>
        <w:keepLines w:val="0"/>
        <w:widowControl/>
        <w:suppressLineNumbers w:val="0"/>
        <w:spacing w:before="0" w:beforeAutospacing="0" w:after="150" w:afterAutospacing="0"/>
        <w:ind w:left="-362" w:right="-362"/>
        <w:rPr>
          <w:color w:val="auto"/>
        </w:rPr>
      </w:pPr>
    </w:p>
    <w:p>
      <w:pPr>
        <w:keepNext w:val="0"/>
        <w:keepLines w:val="0"/>
        <w:widowControl/>
        <w:suppressLineNumbers w:val="0"/>
        <w:spacing w:before="0" w:beforeAutospacing="0" w:after="0" w:afterAutospacing="0"/>
        <w:ind w:left="-362" w:right="-362"/>
        <w:jc w:val="left"/>
        <w:rPr>
          <w:color w:val="auto"/>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四、其他事项</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1、除招标文件另有规定外，若出现有关法律、法规和规章有强制性规定但招标文件未列明的情形，则投标人应按照有关法律、法规和规章强制性规定执行。</w:t>
      </w: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2、其他：</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2.1、技术资料要求</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中标人应向采购人提供以下中文技术资料1套，其费用包括在投标价格中：</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（1）产品技术说明书；</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（2）使用说明书；</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（3）安装手册；</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（4）操作手册；</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（5）维修手册；</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（6）设备相应的材料；</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（7）常用易消耗品单价清单；</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（8）产品技术标准（含验收标准）和测试方法；</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（9）合同中要求的其他文件资料。</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2.2、专 利 权</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中标人须保障采购人在使用其货物或货物的任何一部分时，不受到第三方关于侵犯专 利 权、商 标权或工业设 计权的指控。任何第三方如果提出侵权指控，中标人须与第三方交涉并承担由此而引起的一切法律责任和费用。</w:t>
      </w:r>
    </w:p>
    <w:p>
      <w:pPr>
        <w:pStyle w:val="8"/>
        <w:keepNext w:val="0"/>
        <w:keepLines w:val="0"/>
        <w:widowControl/>
        <w:suppressLineNumbers w:val="0"/>
        <w:spacing w:before="0" w:beforeAutospacing="0" w:after="150" w:afterAutospacing="0" w:line="300" w:lineRule="atLeast"/>
        <w:ind w:left="-362" w:right="-362" w:firstLine="480"/>
        <w:rPr>
          <w:color w:val="auto"/>
        </w:rPr>
      </w:pPr>
      <w:r>
        <w:rPr>
          <w:rFonts w:hint="eastAsia" w:ascii="宋体" w:hAnsi="宋体" w:eastAsia="宋体" w:cs="宋体"/>
          <w:i w:val="0"/>
          <w:iCs w:val="0"/>
          <w:caps w:val="0"/>
          <w:color w:val="auto"/>
          <w:spacing w:val="0"/>
          <w:sz w:val="24"/>
          <w:szCs w:val="24"/>
          <w:shd w:val="clear" w:fill="FFFFFF"/>
        </w:rPr>
        <w:t>2.3、其他</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投标人应以包括货物所涉及的有关项目的所有费用进行报价，包括：货物制造、包装、运输、装卸、验收（配合验收）、培训、税金、保险、安装、调试、保修等一切费用。</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31"/>
          <w:szCs w:val="31"/>
          <w:shd w:val="clear" w:fill="FFFFFF"/>
        </w:rPr>
        <w:t>第六章   政府采购合同（参考文本）</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24"/>
          <w:szCs w:val="24"/>
          <w:shd w:val="clear" w:fill="FFFFFF"/>
        </w:rPr>
        <w:t>编制说明</w:t>
      </w:r>
    </w:p>
    <w:p>
      <w:pPr>
        <w:pStyle w:val="8"/>
        <w:keepNext w:val="0"/>
        <w:keepLines w:val="0"/>
        <w:widowControl/>
        <w:suppressLineNumbers w:val="0"/>
        <w:spacing w:before="76" w:beforeAutospacing="0" w:after="76" w:afterAutospacing="0"/>
        <w:ind w:left="-362" w:right="-362" w:firstLine="0"/>
        <w:rPr>
          <w:color w:val="auto"/>
        </w:rPr>
      </w:pPr>
      <w:r>
        <w:rPr>
          <w:rStyle w:val="11"/>
          <w:rFonts w:hint="eastAsia" w:ascii="宋体" w:hAnsi="宋体" w:eastAsia="宋体" w:cs="宋体"/>
          <w:b/>
          <w:bCs/>
          <w:i w:val="0"/>
          <w:iCs w:val="0"/>
          <w:caps w:val="0"/>
          <w:color w:val="auto"/>
          <w:spacing w:val="0"/>
          <w:sz w:val="24"/>
          <w:szCs w:val="24"/>
          <w:shd w:val="clear" w:fill="FFFFFF"/>
        </w:rPr>
        <w:t>1、签订合同应遵守政府采购法、民法典。</w:t>
      </w:r>
    </w:p>
    <w:p>
      <w:pPr>
        <w:pStyle w:val="8"/>
        <w:keepNext w:val="0"/>
        <w:keepLines w:val="0"/>
        <w:widowControl/>
        <w:suppressLineNumbers w:val="0"/>
        <w:spacing w:before="76" w:beforeAutospacing="0" w:after="76" w:afterAutospacing="0"/>
        <w:ind w:left="-362" w:right="-362" w:firstLine="0"/>
        <w:rPr>
          <w:color w:val="auto"/>
        </w:rPr>
      </w:pPr>
      <w:r>
        <w:rPr>
          <w:rStyle w:val="11"/>
          <w:rFonts w:hint="eastAsia" w:ascii="宋体" w:hAnsi="宋体" w:eastAsia="宋体" w:cs="宋体"/>
          <w:b/>
          <w:bCs/>
          <w:i w:val="0"/>
          <w:iCs w:val="0"/>
          <w:caps w:val="0"/>
          <w:color w:val="auto"/>
          <w:spacing w:val="0"/>
          <w:sz w:val="24"/>
          <w:szCs w:val="24"/>
          <w:shd w:val="clear"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8"/>
        <w:keepNext w:val="0"/>
        <w:keepLines w:val="0"/>
        <w:widowControl/>
        <w:suppressLineNumbers w:val="0"/>
        <w:spacing w:before="76" w:beforeAutospacing="0" w:after="240" w:afterAutospacing="0"/>
        <w:ind w:left="-362" w:right="-362" w:firstLine="0"/>
        <w:rPr>
          <w:color w:val="auto"/>
        </w:rPr>
      </w:pPr>
      <w:r>
        <w:rPr>
          <w:rStyle w:val="11"/>
          <w:rFonts w:hint="eastAsia" w:ascii="宋体" w:hAnsi="宋体" w:eastAsia="宋体" w:cs="宋体"/>
          <w:b/>
          <w:bCs/>
          <w:i w:val="0"/>
          <w:iCs w:val="0"/>
          <w:caps w:val="0"/>
          <w:color w:val="auto"/>
          <w:spacing w:val="0"/>
          <w:sz w:val="24"/>
          <w:szCs w:val="24"/>
          <w:shd w:val="clear" w:fill="FFFFFF"/>
        </w:rPr>
        <w:t>3、国家有关部门对若干合同有规范文本的，可使用相应合同文本。</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甲方：</w:t>
      </w:r>
      <w:r>
        <w:rPr>
          <w:rFonts w:hint="eastAsia" w:ascii="宋体" w:hAnsi="宋体" w:eastAsia="宋体" w:cs="宋体"/>
          <w:i w:val="0"/>
          <w:iCs w:val="0"/>
          <w:caps w:val="0"/>
          <w:color w:val="auto"/>
          <w:spacing w:val="0"/>
          <w:sz w:val="24"/>
          <w:szCs w:val="24"/>
          <w:u w:val="single"/>
          <w:shd w:val="clear" w:fill="FFFFFF"/>
        </w:rPr>
        <w:t>（采购人全称）</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乙方：</w:t>
      </w:r>
      <w:r>
        <w:rPr>
          <w:rFonts w:hint="eastAsia" w:ascii="宋体" w:hAnsi="宋体" w:eastAsia="宋体" w:cs="宋体"/>
          <w:i w:val="0"/>
          <w:iCs w:val="0"/>
          <w:caps w:val="0"/>
          <w:color w:val="auto"/>
          <w:spacing w:val="0"/>
          <w:sz w:val="24"/>
          <w:szCs w:val="24"/>
          <w:u w:val="single"/>
          <w:shd w:val="clear" w:fill="FFFFFF"/>
        </w:rPr>
        <w:t>（中标人全称）</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根据项目编号为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的</w:t>
      </w:r>
      <w:r>
        <w:rPr>
          <w:rFonts w:hint="eastAsia" w:ascii="宋体" w:hAnsi="宋体" w:eastAsia="宋体" w:cs="宋体"/>
          <w:i w:val="0"/>
          <w:iCs w:val="0"/>
          <w:caps w:val="0"/>
          <w:color w:val="auto"/>
          <w:spacing w:val="0"/>
          <w:sz w:val="24"/>
          <w:szCs w:val="24"/>
          <w:u w:val="single"/>
          <w:shd w:val="clear" w:fill="FFFFFF"/>
        </w:rPr>
        <w:t>（填写“项目名称”）</w:t>
      </w:r>
      <w:r>
        <w:rPr>
          <w:rFonts w:hint="eastAsia" w:ascii="宋体" w:hAnsi="宋体" w:eastAsia="宋体" w:cs="宋体"/>
          <w:i w:val="0"/>
          <w:iCs w:val="0"/>
          <w:caps w:val="0"/>
          <w:color w:val="auto"/>
          <w:spacing w:val="0"/>
          <w:sz w:val="24"/>
          <w:szCs w:val="24"/>
          <w:shd w:val="clear" w:fill="FFFFFF"/>
        </w:rPr>
        <w:t>项目（以下简称：“本项目”）的招标结果，乙方为中标人。现经甲乙双方友好协商，就以下事项达成一致并签订本合同：</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1、下列合同文件是构成本合同不可分割的部分：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1.1合同条款；</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1.2招标文件、乙方的投标文件；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1.3其他文件或材料：□无。□</w:t>
      </w:r>
      <w:r>
        <w:rPr>
          <w:rFonts w:hint="eastAsia" w:ascii="宋体" w:hAnsi="宋体" w:eastAsia="宋体" w:cs="宋体"/>
          <w:i w:val="0"/>
          <w:iCs w:val="0"/>
          <w:caps w:val="0"/>
          <w:color w:val="auto"/>
          <w:spacing w:val="0"/>
          <w:sz w:val="19"/>
          <w:szCs w:val="19"/>
          <w:shd w:val="clear" w:fill="FFFFFF"/>
        </w:rPr>
        <w:t>（若有联合协议或分包意向协议）。</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2、合同标的</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3、合同总金额</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3.1合同总金额为人民币大写：</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元（￥</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4、合同标的交付时间、地点和条件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4.1交付时间：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4.2交付地点：</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4.3交付条件：</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5、合同标的应符合招标文件、乙方投标文件的规定或约定，具体如下：</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6、验收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6.1验收应按照招标文件、乙方投标文件的规定或约定进行，具体如下：</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6.2本项目是否邀请其他投标人参与验收：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□不邀请。□邀请，具体如下：</w:t>
      </w:r>
      <w:r>
        <w:rPr>
          <w:rFonts w:hint="eastAsia" w:ascii="宋体" w:hAnsi="宋体" w:eastAsia="宋体" w:cs="宋体"/>
          <w:i w:val="0"/>
          <w:iCs w:val="0"/>
          <w:caps w:val="0"/>
          <w:color w:val="auto"/>
          <w:spacing w:val="0"/>
          <w:sz w:val="24"/>
          <w:szCs w:val="24"/>
          <w:u w:val="single"/>
          <w:shd w:val="clear" w:fill="FFFFFF"/>
        </w:rPr>
        <w:t>（按照招标文件规定填写）</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7、合同款项的支付应按照招标文件的规定进行，具体如下：</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（按照实际情况编制填写，可以是表格或文字描述，包括一次性支付或分期支付等）</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8、履约保证金</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□无。□有，具体如下：</w:t>
      </w:r>
      <w:r>
        <w:rPr>
          <w:rFonts w:hint="eastAsia" w:ascii="宋体" w:hAnsi="宋体" w:eastAsia="宋体" w:cs="宋体"/>
          <w:i w:val="0"/>
          <w:iCs w:val="0"/>
          <w:caps w:val="0"/>
          <w:color w:val="auto"/>
          <w:spacing w:val="0"/>
          <w:sz w:val="24"/>
          <w:szCs w:val="24"/>
          <w:u w:val="single"/>
          <w:shd w:val="clear" w:fill="FFFFFF"/>
        </w:rPr>
        <w:t>（按照招标文件规定填写）</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9、合同有效期</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10、违约责任</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11、知识产权</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i w:val="0"/>
          <w:iCs w:val="0"/>
          <w:caps w:val="0"/>
          <w:color w:val="auto"/>
          <w:spacing w:val="0"/>
          <w:sz w:val="24"/>
          <w:szCs w:val="24"/>
          <w:u w:val="single"/>
          <w:shd w:val="clear" w:fill="FFFFFF"/>
        </w:rPr>
        <w:t>（按照实际情况编制填写）</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12、解决争议的方法</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12.1甲、乙双方协商解决。</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12.2若协商解决不成，则通过下列途径之一解决：</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□提交仲裁委员会仲裁，具体如下：</w:t>
      </w:r>
      <w:r>
        <w:rPr>
          <w:rFonts w:hint="eastAsia" w:ascii="宋体" w:hAnsi="宋体" w:eastAsia="宋体" w:cs="宋体"/>
          <w:i w:val="0"/>
          <w:iCs w:val="0"/>
          <w:caps w:val="0"/>
          <w:color w:val="auto"/>
          <w:spacing w:val="0"/>
          <w:sz w:val="24"/>
          <w:szCs w:val="24"/>
          <w:u w:val="single"/>
          <w:shd w:val="clear" w:fill="FFFFFF"/>
        </w:rPr>
        <w:t>（按照实际情况编制填写）</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□向人民法院提起诉讼，具体如下：</w:t>
      </w:r>
      <w:r>
        <w:rPr>
          <w:rFonts w:hint="eastAsia" w:ascii="宋体" w:hAnsi="宋体" w:eastAsia="宋体" w:cs="宋体"/>
          <w:i w:val="0"/>
          <w:iCs w:val="0"/>
          <w:caps w:val="0"/>
          <w:color w:val="auto"/>
          <w:spacing w:val="0"/>
          <w:sz w:val="24"/>
          <w:szCs w:val="24"/>
          <w:u w:val="single"/>
          <w:shd w:val="clear" w:fill="FFFFFF"/>
        </w:rPr>
        <w:t>（按照实际情况编制填写）</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13、不可抗力</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13.1因不可抗力造成违约的，遭受不可抗力一方应及时向对方通报不能履行或不能完全履行的理由，并在随后取得有关主管机关证明后的</w:t>
      </w:r>
      <w:r>
        <w:rPr>
          <w:rFonts w:hint="default" w:ascii="Calibri" w:hAnsi="Calibri" w:eastAsia="微软雅黑" w:cs="Calibri"/>
          <w:i w:val="0"/>
          <w:iCs w:val="0"/>
          <w:caps w:val="0"/>
          <w:color w:val="auto"/>
          <w:spacing w:val="0"/>
          <w:sz w:val="24"/>
          <w:szCs w:val="24"/>
          <w:shd w:val="clear" w:fill="FFFFFF"/>
        </w:rPr>
        <w:t>15</w:t>
      </w:r>
      <w:r>
        <w:rPr>
          <w:rFonts w:hint="eastAsia" w:ascii="宋体" w:hAnsi="宋体" w:eastAsia="宋体" w:cs="宋体"/>
          <w:i w:val="0"/>
          <w:iCs w:val="0"/>
          <w:caps w:val="0"/>
          <w:color w:val="auto"/>
          <w:spacing w:val="0"/>
          <w:sz w:val="24"/>
          <w:szCs w:val="24"/>
          <w:shd w:val="clear" w:fill="FFFFFF"/>
        </w:rPr>
        <w:t>日内向另一方提供不可抗力发生及持续期间的充分证据。基于以上行为，允许遭受不可抗力一方延期履行、部分履行或不履行合同，并根据情况可部分或全部免于承担违约责任。</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14、合同条款</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15、其他约定</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15.1合同文件与本合同具有同等法律效力。</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15.2本合同未尽事宜，双方可另行补充。</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15.3合同生效：自签订之日起生效；通过福建省政府采购网上公开信息系统采用电子形式签订合同的，签订之日以系统记载的双方使用各自</w:t>
      </w:r>
      <w:r>
        <w:rPr>
          <w:rFonts w:hint="default" w:ascii="Calibri" w:hAnsi="Calibri" w:eastAsia="微软雅黑" w:cs="Calibri"/>
          <w:i w:val="0"/>
          <w:iCs w:val="0"/>
          <w:caps w:val="0"/>
          <w:color w:val="auto"/>
          <w:spacing w:val="0"/>
          <w:sz w:val="24"/>
          <w:szCs w:val="24"/>
          <w:shd w:val="clear" w:fill="FFFFFF"/>
        </w:rPr>
        <w:t>CA</w:t>
      </w:r>
      <w:r>
        <w:rPr>
          <w:rFonts w:hint="eastAsia" w:ascii="宋体" w:hAnsi="宋体" w:eastAsia="宋体" w:cs="宋体"/>
          <w:i w:val="0"/>
          <w:iCs w:val="0"/>
          <w:caps w:val="0"/>
          <w:color w:val="auto"/>
          <w:spacing w:val="0"/>
          <w:sz w:val="24"/>
          <w:szCs w:val="24"/>
          <w:shd w:val="clear" w:fill="FFFFFF"/>
        </w:rPr>
        <w:t>证书在合同上加盖单位公章或合同章的日期中的最晚时间为准。</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15.4本合同一式</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份，经双方授权代表签字并盖章后生效。甲方、乙方各执</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份，送</w:t>
      </w:r>
      <w:r>
        <w:rPr>
          <w:rFonts w:hint="eastAsia" w:ascii="宋体" w:hAnsi="宋体" w:eastAsia="宋体" w:cs="宋体"/>
          <w:i w:val="0"/>
          <w:iCs w:val="0"/>
          <w:caps w:val="0"/>
          <w:color w:val="auto"/>
          <w:spacing w:val="0"/>
          <w:sz w:val="24"/>
          <w:szCs w:val="24"/>
          <w:u w:val="single"/>
          <w:shd w:val="clear" w:fill="FFFFFF"/>
        </w:rPr>
        <w:t>（填写需要备案的监管部门的全称）</w:t>
      </w:r>
      <w:r>
        <w:rPr>
          <w:rFonts w:hint="eastAsia" w:ascii="宋体" w:hAnsi="宋体" w:eastAsia="宋体" w:cs="宋体"/>
          <w:i w:val="0"/>
          <w:iCs w:val="0"/>
          <w:caps w:val="0"/>
          <w:color w:val="auto"/>
          <w:spacing w:val="0"/>
          <w:sz w:val="24"/>
          <w:szCs w:val="24"/>
          <w:shd w:val="clear" w:fill="FFFFFF"/>
        </w:rPr>
        <w:t>备案</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份，具有同等效力。</w:t>
      </w:r>
    </w:p>
    <w:p>
      <w:pPr>
        <w:pStyle w:val="8"/>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15.5其他：□无。□</w:t>
      </w:r>
      <w:r>
        <w:rPr>
          <w:rFonts w:hint="eastAsia" w:ascii="宋体" w:hAnsi="宋体" w:eastAsia="宋体" w:cs="宋体"/>
          <w:i w:val="0"/>
          <w:iCs w:val="0"/>
          <w:caps w:val="0"/>
          <w:color w:val="auto"/>
          <w:spacing w:val="0"/>
          <w:sz w:val="24"/>
          <w:szCs w:val="24"/>
          <w:u w:val="single"/>
          <w:shd w:val="clear" w:fill="FFFFFF"/>
        </w:rPr>
        <w:t>（按照实际情况编制填写需要增加的内容）</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76" w:beforeAutospacing="0" w:after="76" w:afterAutospacing="0"/>
        <w:ind w:left="-362" w:right="-362" w:firstLine="0"/>
        <w:jc w:val="center"/>
        <w:rPr>
          <w:color w:val="auto"/>
        </w:rPr>
      </w:pPr>
      <w:r>
        <w:rPr>
          <w:rFonts w:hint="eastAsia" w:ascii="宋体" w:hAnsi="宋体" w:eastAsia="宋体" w:cs="宋体"/>
          <w:i w:val="0"/>
          <w:iCs w:val="0"/>
          <w:caps w:val="0"/>
          <w:color w:val="auto"/>
          <w:spacing w:val="0"/>
          <w:sz w:val="24"/>
          <w:szCs w:val="24"/>
          <w:shd w:val="clear" w:fill="FFFFFF"/>
        </w:rPr>
        <w:t>（以下无正文）</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甲方：                       乙方：</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住所：                       住所：</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单位负责人：                    单位负责人：</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委托代理人：                    委托代理人：</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xml:space="preserve">联系方法：                           </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联系方法：</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纳税人识别号：                         纳税人识别号：</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开户银行：                     开户银行：</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账号：                       账号：</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签订地点：</w:t>
      </w:r>
      <w:r>
        <w:rPr>
          <w:rFonts w:hint="eastAsia" w:ascii="宋体" w:hAnsi="宋体" w:eastAsia="宋体" w:cs="宋体"/>
          <w:i w:val="0"/>
          <w:iCs w:val="0"/>
          <w:caps w:val="0"/>
          <w:color w:val="auto"/>
          <w:spacing w:val="0"/>
          <w:sz w:val="24"/>
          <w:szCs w:val="24"/>
          <w:u w:val="single"/>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4"/>
          <w:szCs w:val="24"/>
          <w:shd w:val="clear" w:fill="FFFFFF"/>
        </w:rPr>
        <w:t>签订日期：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8"/>
        <w:keepNext w:val="0"/>
        <w:keepLines w:val="0"/>
        <w:widowControl/>
        <w:suppressLineNumbers w:val="0"/>
        <w:spacing w:before="76" w:beforeAutospacing="0" w:after="76" w:afterAutospacing="0"/>
        <w:ind w:left="-362" w:right="-362" w:firstLine="0"/>
        <w:jc w:val="center"/>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31"/>
          <w:szCs w:val="31"/>
          <w:shd w:val="clear" w:fill="FFFFFF"/>
        </w:rPr>
        <w:t>第七章   投标文件格式</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4"/>
          <w:szCs w:val="24"/>
          <w:shd w:val="clear" w:fill="FFFFFF"/>
        </w:rPr>
        <w:t>编制说明</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 </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1、除招标文件另有规定外，本章中：</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1.1涉及投标人的</w:t>
      </w:r>
      <w:r>
        <w:rPr>
          <w:rStyle w:val="11"/>
          <w:rFonts w:hint="eastAsia" w:ascii="宋体" w:hAnsi="宋体" w:eastAsia="宋体" w:cs="宋体"/>
          <w:b/>
          <w:bCs/>
          <w:i w:val="0"/>
          <w:iCs w:val="0"/>
          <w:caps w:val="0"/>
          <w:color w:val="auto"/>
          <w:spacing w:val="0"/>
          <w:sz w:val="24"/>
          <w:szCs w:val="24"/>
          <w:shd w:val="clear" w:fill="FFFFFF"/>
        </w:rPr>
        <w:t>“全称”</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（1）不接受联合体投标的，指</w:t>
      </w:r>
      <w:r>
        <w:rPr>
          <w:rStyle w:val="11"/>
          <w:rFonts w:hint="eastAsia" w:ascii="宋体" w:hAnsi="宋体" w:eastAsia="宋体" w:cs="宋体"/>
          <w:b/>
          <w:bCs/>
          <w:i w:val="0"/>
          <w:iCs w:val="0"/>
          <w:caps w:val="0"/>
          <w:color w:val="auto"/>
          <w:spacing w:val="0"/>
          <w:sz w:val="24"/>
          <w:szCs w:val="24"/>
          <w:shd w:val="clear" w:fill="FFFFFF"/>
        </w:rPr>
        <w:t>投标人的全称</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（2）接受联合体投标且投标人为联合体的，指</w:t>
      </w:r>
      <w:r>
        <w:rPr>
          <w:rStyle w:val="11"/>
          <w:rFonts w:hint="eastAsia" w:ascii="宋体" w:hAnsi="宋体" w:eastAsia="宋体" w:cs="宋体"/>
          <w:b/>
          <w:bCs/>
          <w:i w:val="0"/>
          <w:iCs w:val="0"/>
          <w:caps w:val="0"/>
          <w:color w:val="auto"/>
          <w:spacing w:val="0"/>
          <w:sz w:val="24"/>
          <w:szCs w:val="24"/>
          <w:shd w:val="clear" w:fill="FFFFFF"/>
        </w:rPr>
        <w:t>牵头方的全称</w:t>
      </w:r>
      <w:r>
        <w:rPr>
          <w:rFonts w:hint="eastAsia" w:ascii="宋体" w:hAnsi="宋体" w:eastAsia="宋体" w:cs="宋体"/>
          <w:i w:val="0"/>
          <w:iCs w:val="0"/>
          <w:caps w:val="0"/>
          <w:color w:val="auto"/>
          <w:spacing w:val="0"/>
          <w:sz w:val="24"/>
          <w:szCs w:val="24"/>
          <w:shd w:val="clear" w:fill="FFFFFF"/>
        </w:rPr>
        <w:t>并加注</w:t>
      </w:r>
      <w:r>
        <w:rPr>
          <w:rStyle w:val="11"/>
          <w:rFonts w:hint="eastAsia" w:ascii="宋体" w:hAnsi="宋体" w:eastAsia="宋体" w:cs="宋体"/>
          <w:b/>
          <w:bCs/>
          <w:i w:val="0"/>
          <w:iCs w:val="0"/>
          <w:caps w:val="0"/>
          <w:color w:val="auto"/>
          <w:spacing w:val="0"/>
          <w:sz w:val="24"/>
          <w:szCs w:val="24"/>
          <w:shd w:val="clear" w:fill="FFFFFF"/>
        </w:rPr>
        <w:t>（联合体牵头方）</w:t>
      </w:r>
      <w:r>
        <w:rPr>
          <w:rFonts w:hint="eastAsia" w:ascii="宋体" w:hAnsi="宋体" w:eastAsia="宋体" w:cs="宋体"/>
          <w:i w:val="0"/>
          <w:iCs w:val="0"/>
          <w:caps w:val="0"/>
          <w:color w:val="auto"/>
          <w:spacing w:val="0"/>
          <w:sz w:val="24"/>
          <w:szCs w:val="24"/>
          <w:shd w:val="clear" w:fill="FFFFFF"/>
        </w:rPr>
        <w:t>，即应表述为：</w:t>
      </w:r>
      <w:r>
        <w:rPr>
          <w:rStyle w:val="11"/>
          <w:rFonts w:hint="eastAsia" w:ascii="宋体" w:hAnsi="宋体" w:eastAsia="宋体" w:cs="宋体"/>
          <w:b/>
          <w:bCs/>
          <w:i w:val="0"/>
          <w:iCs w:val="0"/>
          <w:caps w:val="0"/>
          <w:color w:val="auto"/>
          <w:spacing w:val="0"/>
          <w:sz w:val="24"/>
          <w:szCs w:val="24"/>
          <w:shd w:val="clear" w:fill="FFFFFF"/>
        </w:rPr>
        <w:t>“牵头方的全称（联合体牵头方）”</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1.2涉及投标人</w:t>
      </w:r>
      <w:r>
        <w:rPr>
          <w:rStyle w:val="11"/>
          <w:rFonts w:hint="eastAsia" w:ascii="宋体" w:hAnsi="宋体" w:eastAsia="宋体" w:cs="宋体"/>
          <w:b/>
          <w:bCs/>
          <w:i w:val="0"/>
          <w:iCs w:val="0"/>
          <w:caps w:val="0"/>
          <w:color w:val="auto"/>
          <w:spacing w:val="0"/>
          <w:sz w:val="24"/>
          <w:szCs w:val="24"/>
          <w:shd w:val="clear" w:fill="FFFFFF"/>
        </w:rPr>
        <w:t>“加盖单位公章”</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（1）不接受联合体投标的，指</w:t>
      </w:r>
      <w:r>
        <w:rPr>
          <w:rStyle w:val="11"/>
          <w:rFonts w:hint="eastAsia" w:ascii="宋体" w:hAnsi="宋体" w:eastAsia="宋体" w:cs="宋体"/>
          <w:b/>
          <w:bCs/>
          <w:i w:val="0"/>
          <w:iCs w:val="0"/>
          <w:caps w:val="0"/>
          <w:color w:val="auto"/>
          <w:spacing w:val="0"/>
          <w:sz w:val="24"/>
          <w:szCs w:val="24"/>
          <w:shd w:val="clear" w:fill="FFFFFF"/>
        </w:rPr>
        <w:t>加盖投标人的单位公章</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（2）接受联合体投标且投标人为联合体的，指</w:t>
      </w:r>
      <w:r>
        <w:rPr>
          <w:rStyle w:val="11"/>
          <w:rFonts w:hint="eastAsia" w:ascii="宋体" w:hAnsi="宋体" w:eastAsia="宋体" w:cs="宋体"/>
          <w:b/>
          <w:bCs/>
          <w:i w:val="0"/>
          <w:iCs w:val="0"/>
          <w:caps w:val="0"/>
          <w:color w:val="auto"/>
          <w:spacing w:val="0"/>
          <w:sz w:val="24"/>
          <w:szCs w:val="24"/>
          <w:shd w:val="clear" w:fill="FFFFFF"/>
        </w:rPr>
        <w:t>加盖联合体牵头方的单位公章</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1.3涉及</w:t>
      </w:r>
      <w:r>
        <w:rPr>
          <w:rStyle w:val="11"/>
          <w:rFonts w:hint="eastAsia" w:ascii="宋体" w:hAnsi="宋体" w:eastAsia="宋体" w:cs="宋体"/>
          <w:b/>
          <w:bCs/>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（1）不接受联合体投标的，指由</w:t>
      </w:r>
      <w:r>
        <w:rPr>
          <w:rStyle w:val="11"/>
          <w:rFonts w:hint="eastAsia" w:ascii="宋体" w:hAnsi="宋体" w:eastAsia="宋体" w:cs="宋体"/>
          <w:b/>
          <w:bCs/>
          <w:i w:val="0"/>
          <w:iCs w:val="0"/>
          <w:caps w:val="0"/>
          <w:color w:val="auto"/>
          <w:spacing w:val="0"/>
          <w:sz w:val="24"/>
          <w:szCs w:val="24"/>
          <w:shd w:val="clear" w:fill="FFFFFF"/>
        </w:rPr>
        <w:t>投标人的单位负责人或其授权的委托代理人签字</w:t>
      </w:r>
      <w:r>
        <w:rPr>
          <w:rFonts w:hint="eastAsia" w:ascii="宋体" w:hAnsi="宋体" w:eastAsia="宋体" w:cs="宋体"/>
          <w:i w:val="0"/>
          <w:iCs w:val="0"/>
          <w:caps w:val="0"/>
          <w:color w:val="auto"/>
          <w:spacing w:val="0"/>
          <w:sz w:val="24"/>
          <w:szCs w:val="24"/>
          <w:shd w:val="clear" w:fill="FFFFFF"/>
        </w:rPr>
        <w:t>，由委托代理人签字的，应提供“单位授权书”。</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（2）接受联合体投标且投标人为联合体的，指由</w:t>
      </w:r>
      <w:r>
        <w:rPr>
          <w:rStyle w:val="11"/>
          <w:rFonts w:hint="eastAsia" w:ascii="宋体" w:hAnsi="宋体" w:eastAsia="宋体" w:cs="宋体"/>
          <w:b/>
          <w:bCs/>
          <w:i w:val="0"/>
          <w:iCs w:val="0"/>
          <w:caps w:val="0"/>
          <w:color w:val="auto"/>
          <w:spacing w:val="0"/>
          <w:sz w:val="24"/>
          <w:szCs w:val="24"/>
          <w:shd w:val="clear" w:fill="FFFFFF"/>
        </w:rPr>
        <w:t>联合体牵头方的单位负责人或其授权的委托代理人签字</w:t>
      </w:r>
      <w:r>
        <w:rPr>
          <w:rFonts w:hint="eastAsia" w:ascii="宋体" w:hAnsi="宋体" w:eastAsia="宋体" w:cs="宋体"/>
          <w:i w:val="0"/>
          <w:iCs w:val="0"/>
          <w:caps w:val="0"/>
          <w:color w:val="auto"/>
          <w:spacing w:val="0"/>
          <w:sz w:val="24"/>
          <w:szCs w:val="24"/>
          <w:shd w:val="clear" w:fill="FFFFFF"/>
        </w:rPr>
        <w:t>，由委托代理人签字的，应提供“单位授权书”。</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1.4</w:t>
      </w:r>
      <w:r>
        <w:rPr>
          <w:rStyle w:val="11"/>
          <w:rFonts w:hint="eastAsia" w:ascii="宋体" w:hAnsi="宋体" w:eastAsia="宋体" w:cs="宋体"/>
          <w:b/>
          <w:bCs/>
          <w:i w:val="0"/>
          <w:iCs w:val="0"/>
          <w:caps w:val="0"/>
          <w:color w:val="auto"/>
          <w:spacing w:val="0"/>
          <w:sz w:val="24"/>
          <w:szCs w:val="24"/>
          <w:shd w:val="clear" w:fill="FFFFFF"/>
        </w:rPr>
        <w:t>“其他组织”</w:t>
      </w:r>
      <w:r>
        <w:rPr>
          <w:rFonts w:hint="eastAsia" w:ascii="宋体" w:hAnsi="宋体" w:eastAsia="宋体" w:cs="宋体"/>
          <w:i w:val="0"/>
          <w:iCs w:val="0"/>
          <w:caps w:val="0"/>
          <w:color w:val="auto"/>
          <w:spacing w:val="0"/>
          <w:sz w:val="24"/>
          <w:szCs w:val="24"/>
          <w:shd w:val="clear" w:fill="FFFFFF"/>
        </w:rPr>
        <w:t>指合伙企业、非企业专业服务机构、个体工商户、农村承包经营户等。</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1.5</w:t>
      </w:r>
      <w:r>
        <w:rPr>
          <w:rStyle w:val="11"/>
          <w:rFonts w:hint="eastAsia" w:ascii="宋体" w:hAnsi="宋体" w:eastAsia="宋体" w:cs="宋体"/>
          <w:b/>
          <w:bCs/>
          <w:i w:val="0"/>
          <w:iCs w:val="0"/>
          <w:caps w:val="0"/>
          <w:color w:val="auto"/>
          <w:spacing w:val="0"/>
          <w:sz w:val="24"/>
          <w:szCs w:val="24"/>
          <w:shd w:val="clear" w:fill="FFFFFF"/>
        </w:rPr>
        <w:t>“自然人”</w:t>
      </w:r>
      <w:r>
        <w:rPr>
          <w:rFonts w:hint="eastAsia" w:ascii="宋体" w:hAnsi="宋体" w:eastAsia="宋体" w:cs="宋体"/>
          <w:i w:val="0"/>
          <w:iCs w:val="0"/>
          <w:caps w:val="0"/>
          <w:color w:val="auto"/>
          <w:spacing w:val="0"/>
          <w:sz w:val="24"/>
          <w:szCs w:val="24"/>
          <w:shd w:val="clear" w:fill="FFFFFF"/>
        </w:rPr>
        <w:t>指具有完全民事行为能力、能够承担民事责任和义务的中国公民。</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2、除招标文件另有规定外，本章中</w:t>
      </w:r>
      <w:r>
        <w:rPr>
          <w:rStyle w:val="11"/>
          <w:rFonts w:hint="eastAsia" w:ascii="宋体" w:hAnsi="宋体" w:eastAsia="宋体" w:cs="宋体"/>
          <w:b/>
          <w:bCs/>
          <w:i w:val="0"/>
          <w:iCs w:val="0"/>
          <w:caps w:val="0"/>
          <w:color w:val="auto"/>
          <w:spacing w:val="0"/>
          <w:sz w:val="24"/>
          <w:szCs w:val="24"/>
          <w:shd w:val="clear" w:fill="FFFFFF"/>
        </w:rPr>
        <w:t>“投标人的资格及资信证明文件”</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2.1投标人应按照招标文件第四章第</w:t>
      </w:r>
      <w:r>
        <w:rPr>
          <w:rFonts w:hint="default" w:ascii="Calibri" w:hAnsi="Calibri" w:eastAsia="宋体" w:cs="Calibri"/>
          <w:i w:val="0"/>
          <w:iCs w:val="0"/>
          <w:caps w:val="0"/>
          <w:color w:val="auto"/>
          <w:spacing w:val="0"/>
          <w:sz w:val="24"/>
          <w:szCs w:val="24"/>
          <w:shd w:val="clear" w:fill="FFFFFF"/>
        </w:rPr>
        <w:t>1.3</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宋体"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）款规定及本章规定进行编制，如有必要，可增加附页，附页作为资格及资信文件的组成部分。</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2.2接受联合体投标且投标人为联合体的，联合体中的各方均应按照本章第</w:t>
      </w:r>
      <w:r>
        <w:rPr>
          <w:rFonts w:hint="default" w:ascii="Calibri" w:hAnsi="Calibri" w:eastAsia="宋体" w:cs="Calibri"/>
          <w:i w:val="0"/>
          <w:iCs w:val="0"/>
          <w:caps w:val="0"/>
          <w:color w:val="auto"/>
          <w:spacing w:val="0"/>
          <w:sz w:val="24"/>
          <w:szCs w:val="24"/>
          <w:shd w:val="clear" w:fill="FFFFFF"/>
        </w:rPr>
        <w:t>2.1</w:t>
      </w:r>
      <w:r>
        <w:rPr>
          <w:rFonts w:hint="eastAsia" w:ascii="宋体" w:hAnsi="宋体" w:eastAsia="宋体" w:cs="宋体"/>
          <w:i w:val="0"/>
          <w:iCs w:val="0"/>
          <w:caps w:val="0"/>
          <w:color w:val="auto"/>
          <w:spacing w:val="0"/>
          <w:sz w:val="24"/>
          <w:szCs w:val="24"/>
          <w:shd w:val="clear" w:fill="FFFFFF"/>
        </w:rPr>
        <w:t>条规定提交相应的全部资料。</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3、投标人对投标文件的索引应编制页码。</w:t>
      </w:r>
    </w:p>
    <w:p>
      <w:pPr>
        <w:pStyle w:val="8"/>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iCs w:val="0"/>
          <w:caps w:val="0"/>
          <w:color w:val="auto"/>
          <w:spacing w:val="0"/>
          <w:sz w:val="24"/>
          <w:szCs w:val="24"/>
          <w:shd w:val="clear" w:fill="FFFFFF"/>
        </w:rPr>
        <w:t>4、本章提供格式仅供参考，投标人应根据自身实际情况制作投标文件。</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rStyle w:val="11"/>
          <w:rFonts w:hint="eastAsia" w:ascii="宋体" w:hAnsi="宋体" w:eastAsia="宋体" w:cs="宋体"/>
          <w:b/>
          <w:bCs/>
          <w:i w:val="0"/>
          <w:iCs w:val="0"/>
          <w:caps w:val="0"/>
          <w:color w:val="auto"/>
          <w:spacing w:val="0"/>
          <w:sz w:val="28"/>
          <w:szCs w:val="28"/>
          <w:shd w:val="clear" w:fill="FFFFFF"/>
        </w:rPr>
      </w:pP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8"/>
          <w:szCs w:val="28"/>
          <w:shd w:val="clear" w:fill="FFFFFF"/>
        </w:rPr>
        <w:t>封面格式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48"/>
          <w:szCs w:val="48"/>
          <w:shd w:val="clear" w:fill="FFFFFF"/>
        </w:rPr>
        <w:t>福建省政府采购投标文件</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48"/>
          <w:szCs w:val="48"/>
          <w:shd w:val="clear" w:fill="FFFFFF"/>
        </w:rPr>
        <w:t>（资格及资信证明部分）</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36"/>
          <w:szCs w:val="36"/>
          <w:u w:val="single"/>
          <w:shd w:val="clear" w:fill="FFFFFF"/>
        </w:rPr>
        <w:t>（填写正本或副本）</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项目名称：</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备案编号：</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项目编号：</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所投采购包：</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rPr>
          <w:rFonts w:hint="eastAsia" w:ascii="宋体" w:hAnsi="宋体" w:eastAsia="宋体" w:cs="宋体"/>
          <w:i w:val="0"/>
          <w:iCs w:val="0"/>
          <w:caps w:val="0"/>
          <w:color w:val="auto"/>
          <w:spacing w:val="0"/>
          <w:sz w:val="36"/>
          <w:szCs w:val="36"/>
          <w:shd w:val="clear" w:fill="FFFFFF"/>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rPr>
          <w:rFonts w:hint="eastAsia" w:ascii="宋体" w:hAnsi="宋体" w:eastAsia="宋体" w:cs="宋体"/>
          <w:i w:val="0"/>
          <w:iCs w:val="0"/>
          <w:caps w:val="0"/>
          <w:color w:val="auto"/>
          <w:spacing w:val="0"/>
          <w:sz w:val="36"/>
          <w:szCs w:val="36"/>
          <w:shd w:val="clear" w:fill="FFFFFF"/>
        </w:rPr>
      </w:pP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31"/>
          <w:szCs w:val="31"/>
          <w:shd w:val="clear" w:fill="FFFFFF"/>
        </w:rPr>
        <w:t>投标人：</w:t>
      </w:r>
      <w:r>
        <w:rPr>
          <w:rStyle w:val="11"/>
          <w:rFonts w:hint="eastAsia" w:ascii="宋体" w:hAnsi="宋体" w:eastAsia="宋体" w:cs="宋体"/>
          <w:b/>
          <w:bCs/>
          <w:i w:val="0"/>
          <w:iCs w:val="0"/>
          <w:caps w:val="0"/>
          <w:color w:val="auto"/>
          <w:spacing w:val="0"/>
          <w:sz w:val="31"/>
          <w:szCs w:val="31"/>
          <w:u w:val="single"/>
          <w:shd w:val="clear" w:fill="FFFFFF"/>
        </w:rPr>
        <w:t>（填写“全称”）</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31"/>
          <w:szCs w:val="31"/>
          <w:u w:val="single"/>
          <w:shd w:val="clear" w:fill="FFFFFF"/>
        </w:rPr>
        <w:t>（由投标人填写）</w:t>
      </w:r>
      <w:r>
        <w:rPr>
          <w:rStyle w:val="11"/>
          <w:rFonts w:hint="eastAsia" w:ascii="宋体" w:hAnsi="宋体" w:eastAsia="宋体" w:cs="宋体"/>
          <w:b/>
          <w:bCs/>
          <w:i w:val="0"/>
          <w:iCs w:val="0"/>
          <w:caps w:val="0"/>
          <w:color w:val="auto"/>
          <w:spacing w:val="0"/>
          <w:sz w:val="31"/>
          <w:szCs w:val="31"/>
          <w:shd w:val="clear" w:fill="FFFFFF"/>
        </w:rPr>
        <w:t>年</w:t>
      </w:r>
      <w:r>
        <w:rPr>
          <w:rStyle w:val="11"/>
          <w:rFonts w:hint="eastAsia" w:ascii="宋体" w:hAnsi="宋体" w:eastAsia="宋体" w:cs="宋体"/>
          <w:b/>
          <w:bCs/>
          <w:i w:val="0"/>
          <w:iCs w:val="0"/>
          <w:caps w:val="0"/>
          <w:color w:val="auto"/>
          <w:spacing w:val="0"/>
          <w:sz w:val="31"/>
          <w:szCs w:val="31"/>
          <w:u w:val="single"/>
          <w:shd w:val="clear" w:fill="FFFFFF"/>
        </w:rPr>
        <w:t>（由投标人填写）</w:t>
      </w:r>
      <w:r>
        <w:rPr>
          <w:rStyle w:val="11"/>
          <w:rFonts w:hint="eastAsia" w:ascii="宋体" w:hAnsi="宋体" w:eastAsia="宋体" w:cs="宋体"/>
          <w:b/>
          <w:bCs/>
          <w:i w:val="0"/>
          <w:iCs w:val="0"/>
          <w:caps w:val="0"/>
          <w:color w:val="auto"/>
          <w:spacing w:val="0"/>
          <w:sz w:val="31"/>
          <w:szCs w:val="31"/>
          <w:shd w:val="clear" w:fill="FFFFFF"/>
        </w:rPr>
        <w:t>月</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8"/>
          <w:szCs w:val="28"/>
          <w:shd w:val="clear" w:fill="FFFFFF"/>
        </w:rPr>
        <w:t>索引</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一、投标函</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二、投标人的资格及资信证明文件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三、投标保证金</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资格及资信证明部分中不得出现报价部分的全部或部分的投标报价信息（或组成资料），否则</w:t>
      </w:r>
      <w:r>
        <w:rPr>
          <w:rStyle w:val="11"/>
          <w:rFonts w:hint="eastAsia" w:ascii="宋体" w:hAnsi="宋体" w:eastAsia="宋体" w:cs="宋体"/>
          <w:b/>
          <w:bCs/>
          <w:i w:val="0"/>
          <w:iCs w:val="0"/>
          <w:caps w:val="0"/>
          <w:color w:val="auto"/>
          <w:spacing w:val="0"/>
          <w:sz w:val="21"/>
          <w:szCs w:val="21"/>
          <w:shd w:val="clear" w:fill="FFFFFF"/>
        </w:rPr>
        <w:t>资格审查不合格</w:t>
      </w:r>
      <w:r>
        <w:rPr>
          <w:rFonts w:hint="eastAsia" w:ascii="宋体" w:hAnsi="宋体" w:eastAsia="宋体" w:cs="宋体"/>
          <w:i w:val="0"/>
          <w:iCs w:val="0"/>
          <w:caps w:val="0"/>
          <w:color w:val="auto"/>
          <w:spacing w:val="0"/>
          <w:sz w:val="21"/>
          <w:szCs w:val="21"/>
          <w:shd w:val="clear" w:fill="FFFFFF"/>
        </w:rPr>
        <w:t>。（联合体协议及分包意向协议中的比例规定，不适用本条款）</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一、投标函</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（采购人或采购代理机构）</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兹收到贵单位关于</w:t>
      </w:r>
      <w:r>
        <w:rPr>
          <w:rFonts w:hint="eastAsia" w:ascii="宋体" w:hAnsi="宋体" w:eastAsia="宋体" w:cs="宋体"/>
          <w:i w:val="0"/>
          <w:iCs w:val="0"/>
          <w:caps w:val="0"/>
          <w:color w:val="auto"/>
          <w:spacing w:val="0"/>
          <w:sz w:val="21"/>
          <w:szCs w:val="21"/>
          <w:u w:val="single"/>
          <w:shd w:val="clear" w:fill="FFFFFF"/>
        </w:rPr>
        <w:t>（填写“项目名称”）</w:t>
      </w:r>
      <w:r>
        <w:rPr>
          <w:rFonts w:hint="eastAsia" w:ascii="宋体" w:hAnsi="宋体" w:eastAsia="宋体" w:cs="宋体"/>
          <w:i w:val="0"/>
          <w:iCs w:val="0"/>
          <w:caps w:val="0"/>
          <w:color w:val="auto"/>
          <w:spacing w:val="0"/>
          <w:sz w:val="21"/>
          <w:szCs w:val="21"/>
          <w:shd w:val="clear" w:fill="FFFFFF"/>
        </w:rPr>
        <w:t>项目（项目编号：</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）的投标邀请，本投标人代表</w:t>
      </w:r>
      <w:r>
        <w:rPr>
          <w:rFonts w:hint="eastAsia" w:ascii="宋体" w:hAnsi="宋体" w:eastAsia="宋体" w:cs="宋体"/>
          <w:i w:val="0"/>
          <w:iCs w:val="0"/>
          <w:caps w:val="0"/>
          <w:color w:val="auto"/>
          <w:spacing w:val="0"/>
          <w:sz w:val="21"/>
          <w:szCs w:val="21"/>
          <w:u w:val="single"/>
          <w:shd w:val="clear" w:fill="FFFFFF"/>
        </w:rPr>
        <w:t>（填写“全名”）</w:t>
      </w:r>
      <w:r>
        <w:rPr>
          <w:rFonts w:hint="eastAsia" w:ascii="宋体" w:hAnsi="宋体" w:eastAsia="宋体" w:cs="宋体"/>
          <w:i w:val="0"/>
          <w:iCs w:val="0"/>
          <w:caps w:val="0"/>
          <w:color w:val="auto"/>
          <w:spacing w:val="0"/>
          <w:sz w:val="21"/>
          <w:szCs w:val="21"/>
          <w:shd w:val="clear" w:fill="FFFFFF"/>
        </w:rPr>
        <w:t>已获得我方正式授权并代表投标人</w:t>
      </w:r>
      <w:r>
        <w:rPr>
          <w:rFonts w:hint="eastAsia" w:ascii="宋体" w:hAnsi="宋体" w:eastAsia="宋体" w:cs="宋体"/>
          <w:i w:val="0"/>
          <w:iCs w:val="0"/>
          <w:caps w:val="0"/>
          <w:color w:val="auto"/>
          <w:spacing w:val="0"/>
          <w:sz w:val="21"/>
          <w:szCs w:val="21"/>
          <w:u w:val="single"/>
          <w:shd w:val="clear" w:fill="FFFFFF"/>
        </w:rPr>
        <w:t>（填写“全称”）</w:t>
      </w:r>
      <w:r>
        <w:rPr>
          <w:rFonts w:hint="eastAsia" w:ascii="宋体" w:hAnsi="宋体" w:eastAsia="宋体" w:cs="宋体"/>
          <w:i w:val="0"/>
          <w:iCs w:val="0"/>
          <w:caps w:val="0"/>
          <w:color w:val="auto"/>
          <w:spacing w:val="0"/>
          <w:sz w:val="21"/>
          <w:szCs w:val="21"/>
          <w:shd w:val="clear" w:fill="FFFFFF"/>
        </w:rPr>
        <w:t>参加投标，并提交投标文件。我方提交的全部投标文件均由下述部分组成：</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（1）资格及资信证明部分</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①投标函</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②投标人的资格及资信证明文件</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③投标保证金</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（2）报价部分</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①开标一览表</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②投标分项报价表</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③招标文件规定的价格扣除证明材料（若有）</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④招标文件规定的加分证明材料（若有）</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（3）技术商务部分</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①标的说明一览表</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②技术和服务要求响应表</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③商务条件响应表</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④投标人提交的其他资料（若有）</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根据本函，本投标人代表宣布我方保证遵守招标文件的全部规定，同时：</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w:t>
      </w:r>
      <w:r>
        <w:rPr>
          <w:rStyle w:val="11"/>
          <w:rFonts w:hint="eastAsia" w:ascii="宋体" w:hAnsi="宋体" w:eastAsia="宋体" w:cs="宋体"/>
          <w:b/>
          <w:bCs/>
          <w:i w:val="0"/>
          <w:iCs w:val="0"/>
          <w:caps w:val="0"/>
          <w:color w:val="auto"/>
          <w:spacing w:val="0"/>
          <w:sz w:val="21"/>
          <w:szCs w:val="21"/>
          <w:shd w:val="clear" w:fill="FFFFFF"/>
        </w:rPr>
        <w:t>确认：</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1.1所投采购包的投标报价详见“开标一览表”及“投标分项报价表”。</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1.2我方已详细审查全部招标文件</w:t>
      </w:r>
      <w:r>
        <w:rPr>
          <w:rFonts w:hint="default" w:ascii="Calibri" w:hAnsi="Calibri" w:eastAsia="宋体" w:cs="Calibri"/>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t>包括但不限于：有关附件（若有）、澄清或修改（若有）等</w:t>
      </w:r>
      <w:r>
        <w:rPr>
          <w:rFonts w:hint="default" w:ascii="Calibri" w:hAnsi="Calibri" w:eastAsia="宋体" w:cs="Calibri"/>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t>，并自行承担因对全部招标文件理解不正确或误解而产生的相应后果和责任。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w:t>
      </w:r>
      <w:r>
        <w:rPr>
          <w:rStyle w:val="11"/>
          <w:rFonts w:hint="eastAsia" w:ascii="宋体" w:hAnsi="宋体" w:eastAsia="宋体" w:cs="宋体"/>
          <w:b/>
          <w:bCs/>
          <w:i w:val="0"/>
          <w:iCs w:val="0"/>
          <w:caps w:val="0"/>
          <w:color w:val="auto"/>
          <w:spacing w:val="0"/>
          <w:sz w:val="21"/>
          <w:szCs w:val="21"/>
          <w:shd w:val="clear" w:fill="FFFFFF"/>
        </w:rPr>
        <w:t>承诺及声明：</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2.1我方具备招标文件第一章载明的“投标人的资格要求”且符合招标文件第三章载明的“二、投标人”之规定，否则</w:t>
      </w:r>
      <w:r>
        <w:rPr>
          <w:rStyle w:val="11"/>
          <w:rFonts w:hint="eastAsia" w:ascii="宋体" w:hAnsi="宋体" w:eastAsia="宋体" w:cs="宋体"/>
          <w:b/>
          <w:bCs/>
          <w:i w:val="0"/>
          <w:iCs w:val="0"/>
          <w:caps w:val="0"/>
          <w:color w:val="auto"/>
          <w:spacing w:val="0"/>
          <w:sz w:val="21"/>
          <w:szCs w:val="21"/>
          <w:shd w:val="clear" w:fill="FFFFFF"/>
        </w:rPr>
        <w:t>投标无效。</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2.2我方提交的投标文件各组成部分的全部内容及资料是不可割离且真实、有效、准确、完整和不具有任何误导性的，否则产生不利后果由我方承担责任。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2.3我方提供的标的价格不高于同期市场价格，否则产生不利后果由我方承担责任。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2.4投标保证金：若出现招标文件第三章规定的不予退还情形，同意贵单位不予退还。</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2.5投标有效期：按照招标文件第三章规定执行，并在招标文件第二章载明的期限内保持有效。</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2.6若中标，将按照招标文件、我方投标文件及政府采购合同履行责任和义务。</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2.7若贵单位要求，我方同意提供与本项目投标有关的一切资料、数据或文件，并完全理解贵单位不一定要接受最低的投标报价或收到的任何投标。</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2.8我方承诺投标文件所提供的全部资料真实可靠，并接受评标委员会、采购人、采购代理机构、监管部门进一步审查其中任何资料真实性的要求。</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2.9除招标文件另有规定外，对于贵单位按照下述联络方式发出的任何信息或通知，均视为我方已收悉前述信息或通知的全部内容：</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u w:val="none"/>
          <w:shd w:val="clear" w:fill="FFFFFF"/>
        </w:rPr>
        <w:t>通信地址：                                        </w:t>
      </w:r>
      <w:r>
        <w:rPr>
          <w:rFonts w:hint="eastAsia" w:ascii="宋体" w:hAnsi="宋体" w:eastAsia="宋体" w:cs="宋体"/>
          <w:i w:val="0"/>
          <w:iCs w:val="0"/>
          <w:caps w:val="0"/>
          <w:color w:val="auto"/>
          <w:spacing w:val="0"/>
          <w:sz w:val="21"/>
          <w:szCs w:val="21"/>
          <w:u w:val="none"/>
          <w:shd w:val="clear" w:fill="FFFFFF"/>
        </w:rPr>
        <w:br w:type="textWrapping"/>
      </w:r>
      <w:r>
        <w:rPr>
          <w:rFonts w:hint="eastAsia" w:ascii="宋体" w:hAnsi="宋体" w:eastAsia="宋体" w:cs="宋体"/>
          <w:i w:val="0"/>
          <w:iCs w:val="0"/>
          <w:caps w:val="0"/>
          <w:color w:val="auto"/>
          <w:spacing w:val="0"/>
          <w:sz w:val="21"/>
          <w:szCs w:val="21"/>
          <w:u w:val="none"/>
          <w:shd w:val="clear" w:fill="FFFFFF"/>
        </w:rPr>
        <w:t>  邮编：                                           </w:t>
      </w:r>
      <w:r>
        <w:rPr>
          <w:rFonts w:hint="eastAsia" w:ascii="宋体" w:hAnsi="宋体" w:eastAsia="宋体" w:cs="宋体"/>
          <w:i w:val="0"/>
          <w:iCs w:val="0"/>
          <w:caps w:val="0"/>
          <w:color w:val="auto"/>
          <w:spacing w:val="0"/>
          <w:sz w:val="21"/>
          <w:szCs w:val="21"/>
          <w:u w:val="none"/>
          <w:shd w:val="clear" w:fill="FFFFFF"/>
        </w:rPr>
        <w:br w:type="textWrapping"/>
      </w:r>
      <w:r>
        <w:rPr>
          <w:rFonts w:hint="eastAsia" w:ascii="宋体" w:hAnsi="宋体" w:eastAsia="宋体" w:cs="宋体"/>
          <w:i w:val="0"/>
          <w:iCs w:val="0"/>
          <w:caps w:val="0"/>
          <w:color w:val="auto"/>
          <w:spacing w:val="0"/>
          <w:sz w:val="21"/>
          <w:szCs w:val="21"/>
          <w:u w:val="none"/>
          <w:shd w:val="clear" w:fill="FFFFFF"/>
        </w:rPr>
        <w:t>  联系方法：（包括但不限于：联系人、联系电话、手机、传真、电子邮箱等）</w:t>
      </w:r>
      <w:r>
        <w:rPr>
          <w:rFonts w:hint="eastAsia" w:ascii="宋体" w:hAnsi="宋体" w:eastAsia="宋体" w:cs="宋体"/>
          <w:i w:val="0"/>
          <w:iCs w:val="0"/>
          <w:caps w:val="0"/>
          <w:color w:val="auto"/>
          <w:spacing w:val="0"/>
          <w:sz w:val="21"/>
          <w:szCs w:val="21"/>
          <w:u w:val="none"/>
          <w:shd w:val="clear" w:fill="FFFFFF"/>
        </w:rPr>
        <w:br w:type="textWrapping"/>
      </w:r>
      <w:r>
        <w:rPr>
          <w:rFonts w:hint="eastAsia" w:ascii="宋体" w:hAnsi="宋体" w:eastAsia="宋体" w:cs="宋体"/>
          <w:i w:val="0"/>
          <w:iCs w:val="0"/>
          <w:caps w:val="0"/>
          <w:color w:val="auto"/>
          <w:spacing w:val="0"/>
          <w:sz w:val="21"/>
          <w:szCs w:val="21"/>
          <w:u w:val="none"/>
          <w:shd w:val="clear" w:fill="FFFFFF"/>
        </w:rPr>
        <w:t>  投标人：（全称并加盖单位公章）</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u w:val="none"/>
          <w:shd w:val="clear" w:fill="FFFFFF"/>
        </w:rPr>
        <w:t>日期：    年   月   日</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二、投标人的资格及资信证明文件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二-1单位授权书（若有）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（采购人或采购代理机构）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我方的单位负责人</w:t>
      </w:r>
      <w:r>
        <w:rPr>
          <w:rFonts w:hint="eastAsia" w:ascii="宋体" w:hAnsi="宋体" w:eastAsia="宋体" w:cs="宋体"/>
          <w:i w:val="0"/>
          <w:iCs w:val="0"/>
          <w:caps w:val="0"/>
          <w:color w:val="auto"/>
          <w:spacing w:val="0"/>
          <w:sz w:val="21"/>
          <w:szCs w:val="21"/>
          <w:u w:val="single"/>
          <w:shd w:val="clear" w:fill="FFFFFF"/>
        </w:rPr>
        <w:t>（填写“单位负责人全名”）</w:t>
      </w:r>
      <w:r>
        <w:rPr>
          <w:rFonts w:hint="eastAsia" w:ascii="宋体" w:hAnsi="宋体" w:eastAsia="宋体" w:cs="宋体"/>
          <w:i w:val="0"/>
          <w:iCs w:val="0"/>
          <w:caps w:val="0"/>
          <w:color w:val="auto"/>
          <w:spacing w:val="0"/>
          <w:sz w:val="21"/>
          <w:szCs w:val="21"/>
          <w:shd w:val="clear" w:fill="FFFFFF"/>
        </w:rPr>
        <w:t>授权</w:t>
      </w:r>
      <w:r>
        <w:rPr>
          <w:rFonts w:hint="eastAsia" w:ascii="宋体" w:hAnsi="宋体" w:eastAsia="宋体" w:cs="宋体"/>
          <w:i w:val="0"/>
          <w:iCs w:val="0"/>
          <w:caps w:val="0"/>
          <w:color w:val="auto"/>
          <w:spacing w:val="0"/>
          <w:sz w:val="21"/>
          <w:szCs w:val="21"/>
          <w:u w:val="single"/>
          <w:shd w:val="clear" w:fill="FFFFFF"/>
        </w:rPr>
        <w:t>（填写“投标人代表全名”）</w:t>
      </w:r>
      <w:r>
        <w:rPr>
          <w:rFonts w:hint="eastAsia" w:ascii="宋体" w:hAnsi="宋体" w:eastAsia="宋体" w:cs="宋体"/>
          <w:i w:val="0"/>
          <w:iCs w:val="0"/>
          <w:caps w:val="0"/>
          <w:color w:val="auto"/>
          <w:spacing w:val="0"/>
          <w:sz w:val="21"/>
          <w:szCs w:val="21"/>
          <w:shd w:val="clear" w:fill="FFFFFF"/>
        </w:rPr>
        <w:t>为投标人代表，代表我方参加</w:t>
      </w:r>
      <w:r>
        <w:rPr>
          <w:rFonts w:hint="eastAsia" w:ascii="宋体" w:hAnsi="宋体" w:eastAsia="宋体" w:cs="宋体"/>
          <w:i w:val="0"/>
          <w:iCs w:val="0"/>
          <w:caps w:val="0"/>
          <w:color w:val="auto"/>
          <w:spacing w:val="0"/>
          <w:sz w:val="21"/>
          <w:szCs w:val="21"/>
          <w:u w:val="single"/>
          <w:shd w:val="clear" w:fill="FFFFFF"/>
        </w:rPr>
        <w:t>（填写“项目名称”）</w:t>
      </w:r>
      <w:r>
        <w:rPr>
          <w:rFonts w:hint="eastAsia" w:ascii="宋体" w:hAnsi="宋体" w:eastAsia="宋体" w:cs="宋体"/>
          <w:i w:val="0"/>
          <w:iCs w:val="0"/>
          <w:caps w:val="0"/>
          <w:color w:val="auto"/>
          <w:spacing w:val="0"/>
          <w:sz w:val="21"/>
          <w:szCs w:val="21"/>
          <w:shd w:val="clear" w:fill="FFFFFF"/>
        </w:rPr>
        <w:t>项目（项目编号：</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投标人代表无转委权。特此授权。</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（以下无正文）</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单位负责人：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身份证号：</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手机：</w:t>
      </w:r>
      <w:r>
        <w:rPr>
          <w:rFonts w:hint="eastAsia" w:ascii="宋体" w:hAnsi="宋体" w:eastAsia="宋体" w:cs="宋体"/>
          <w:i w:val="0"/>
          <w:iCs w:val="0"/>
          <w:caps w:val="0"/>
          <w:color w:val="auto"/>
          <w:spacing w:val="0"/>
          <w:sz w:val="21"/>
          <w:szCs w:val="21"/>
          <w:u w:val="single"/>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投标人代表：</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身份证号：</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手机：</w:t>
      </w:r>
      <w:r>
        <w:rPr>
          <w:rFonts w:hint="eastAsia" w:ascii="宋体" w:hAnsi="宋体" w:eastAsia="宋体" w:cs="宋体"/>
          <w:i w:val="0"/>
          <w:iCs w:val="0"/>
          <w:caps w:val="0"/>
          <w:color w:val="auto"/>
          <w:spacing w:val="0"/>
          <w:sz w:val="21"/>
          <w:szCs w:val="21"/>
          <w:u w:val="single"/>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授权方</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iCs w:val="0"/>
          <w:caps w:val="0"/>
          <w:color w:val="auto"/>
          <w:spacing w:val="0"/>
          <w:sz w:val="21"/>
          <w:szCs w:val="21"/>
          <w:shd w:val="clear" w:fill="FFFFFF"/>
        </w:rPr>
        <w:t>签署日期：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附：单位负责人、投标人代表的身份证正反面复印件</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 </w:t>
            </w:r>
          </w:p>
          <w:p>
            <w:pPr>
              <w:pStyle w:val="8"/>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要求：真实有效且内容完整、清晰、整洁。</w:t>
            </w:r>
          </w:p>
          <w:p>
            <w:pPr>
              <w:pStyle w:val="8"/>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 </w:t>
            </w:r>
          </w:p>
        </w:tc>
      </w:tr>
    </w:tbl>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1、企业（银行、保险、石油石化、电力、电信等行业除外）、事业单位和社会团体法人的“单位负责人”指</w:t>
      </w:r>
      <w:r>
        <w:rPr>
          <w:rStyle w:val="11"/>
          <w:rFonts w:hint="eastAsia" w:ascii="宋体" w:hAnsi="宋体" w:eastAsia="宋体" w:cs="宋体"/>
          <w:b/>
          <w:bCs/>
          <w:i w:val="0"/>
          <w:iCs w:val="0"/>
          <w:caps w:val="0"/>
          <w:color w:val="auto"/>
          <w:spacing w:val="0"/>
          <w:sz w:val="21"/>
          <w:szCs w:val="21"/>
          <w:shd w:val="clear" w:fill="FFFFFF"/>
        </w:rPr>
        <w:t>法定代表人</w:t>
      </w:r>
      <w:r>
        <w:rPr>
          <w:rFonts w:hint="eastAsia" w:ascii="宋体" w:hAnsi="宋体" w:eastAsia="宋体" w:cs="宋体"/>
          <w:i w:val="0"/>
          <w:iCs w:val="0"/>
          <w:caps w:val="0"/>
          <w:color w:val="auto"/>
          <w:spacing w:val="0"/>
          <w:sz w:val="21"/>
          <w:szCs w:val="21"/>
          <w:shd w:val="clear" w:fill="FFFFFF"/>
        </w:rPr>
        <w:t>，即与实际提交的“营业执照等证明文件”载明的一致。</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8"/>
        <w:keepNext w:val="0"/>
        <w:keepLines w:val="0"/>
        <w:widowControl/>
        <w:suppressLineNumbers w:val="0"/>
        <w:spacing w:before="0" w:beforeAutospacing="0" w:after="24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3、投标人（自然人除外）：若投标人代表为单位授权的委托代理人，应提供本授权书；若投标人代表为单位负责人，应在此项下提交其身份证正反面复印件，可不提供本授权书。</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4、投标人为自然人的，可不填写本授权书。</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二-2营业执照等证明文件</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（采购人或采购代理机构）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）投标人为法人（包括企业、事业单位和社会团体）的</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现附上由</w:t>
      </w:r>
      <w:r>
        <w:rPr>
          <w:rFonts w:hint="eastAsia" w:ascii="宋体" w:hAnsi="宋体" w:eastAsia="宋体" w:cs="宋体"/>
          <w:i w:val="0"/>
          <w:iCs w:val="0"/>
          <w:caps w:val="0"/>
          <w:color w:val="auto"/>
          <w:spacing w:val="0"/>
          <w:sz w:val="21"/>
          <w:szCs w:val="21"/>
          <w:u w:val="single"/>
          <w:shd w:val="clear" w:fill="FFFFFF"/>
        </w:rPr>
        <w:t>（填写“签发机关全称”）</w:t>
      </w:r>
      <w:r>
        <w:rPr>
          <w:rFonts w:hint="eastAsia" w:ascii="宋体" w:hAnsi="宋体" w:eastAsia="宋体" w:cs="宋体"/>
          <w:i w:val="0"/>
          <w:iCs w:val="0"/>
          <w:caps w:val="0"/>
          <w:color w:val="auto"/>
          <w:spacing w:val="0"/>
          <w:sz w:val="21"/>
          <w:szCs w:val="21"/>
          <w:shd w:val="clear" w:fill="FFFFFF"/>
        </w:rPr>
        <w:t>签发的我方统一社会信用代码</w:t>
      </w:r>
      <w:r>
        <w:rPr>
          <w:rFonts w:hint="eastAsia" w:ascii="宋体" w:hAnsi="宋体" w:eastAsia="宋体" w:cs="宋体"/>
          <w:i w:val="0"/>
          <w:iCs w:val="0"/>
          <w:caps w:val="0"/>
          <w:color w:val="auto"/>
          <w:spacing w:val="0"/>
          <w:sz w:val="21"/>
          <w:szCs w:val="21"/>
          <w:u w:val="single"/>
          <w:shd w:val="clear" w:fill="FFFFFF"/>
        </w:rPr>
        <w:t>（请填写法人的具体证照名称）</w:t>
      </w:r>
      <w:r>
        <w:rPr>
          <w:rFonts w:hint="eastAsia" w:ascii="宋体" w:hAnsi="宋体" w:eastAsia="宋体" w:cs="宋体"/>
          <w:i w:val="0"/>
          <w:iCs w:val="0"/>
          <w:caps w:val="0"/>
          <w:color w:val="auto"/>
          <w:spacing w:val="0"/>
          <w:sz w:val="21"/>
          <w:szCs w:val="21"/>
          <w:shd w:val="clear" w:fill="FFFFFF"/>
        </w:rPr>
        <w:t>复印件，该证明材料真实有效，否则我方负全部责任。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）投标人为非法人（包括其他组织、自然人）的</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□现附上由</w:t>
      </w:r>
      <w:r>
        <w:rPr>
          <w:rFonts w:hint="eastAsia" w:ascii="宋体" w:hAnsi="宋体" w:eastAsia="宋体" w:cs="宋体"/>
          <w:i w:val="0"/>
          <w:iCs w:val="0"/>
          <w:caps w:val="0"/>
          <w:color w:val="auto"/>
          <w:spacing w:val="0"/>
          <w:sz w:val="21"/>
          <w:szCs w:val="21"/>
          <w:u w:val="single"/>
          <w:shd w:val="clear" w:fill="FFFFFF"/>
        </w:rPr>
        <w:t>（填写“签发机关全称”）</w:t>
      </w:r>
      <w:r>
        <w:rPr>
          <w:rFonts w:hint="eastAsia" w:ascii="宋体" w:hAnsi="宋体" w:eastAsia="宋体" w:cs="宋体"/>
          <w:i w:val="0"/>
          <w:iCs w:val="0"/>
          <w:caps w:val="0"/>
          <w:color w:val="auto"/>
          <w:spacing w:val="0"/>
          <w:sz w:val="21"/>
          <w:szCs w:val="21"/>
          <w:shd w:val="clear" w:fill="FFFFFF"/>
        </w:rPr>
        <w:t>签发的我方</w:t>
      </w:r>
      <w:r>
        <w:rPr>
          <w:rFonts w:hint="eastAsia" w:ascii="宋体" w:hAnsi="宋体" w:eastAsia="宋体" w:cs="宋体"/>
          <w:i w:val="0"/>
          <w:iCs w:val="0"/>
          <w:caps w:val="0"/>
          <w:color w:val="auto"/>
          <w:spacing w:val="0"/>
          <w:sz w:val="21"/>
          <w:szCs w:val="21"/>
          <w:u w:val="single"/>
          <w:shd w:val="clear" w:fill="FFFFFF"/>
        </w:rPr>
        <w:t>（请填写非自然人的非法人的具体证照名称）</w:t>
      </w:r>
      <w:r>
        <w:rPr>
          <w:rFonts w:hint="eastAsia" w:ascii="宋体" w:hAnsi="宋体" w:eastAsia="宋体" w:cs="宋体"/>
          <w:i w:val="0"/>
          <w:iCs w:val="0"/>
          <w:caps w:val="0"/>
          <w:color w:val="auto"/>
          <w:spacing w:val="0"/>
          <w:sz w:val="21"/>
          <w:szCs w:val="21"/>
          <w:shd w:val="clear" w:fill="FFFFFF"/>
        </w:rPr>
        <w:t>复印件，该证明材料真实有效，否则我方负全部责任。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□现附上由</w:t>
      </w:r>
      <w:r>
        <w:rPr>
          <w:rFonts w:hint="eastAsia" w:ascii="宋体" w:hAnsi="宋体" w:eastAsia="宋体" w:cs="宋体"/>
          <w:i w:val="0"/>
          <w:iCs w:val="0"/>
          <w:caps w:val="0"/>
          <w:color w:val="auto"/>
          <w:spacing w:val="0"/>
          <w:sz w:val="21"/>
          <w:szCs w:val="21"/>
          <w:u w:val="single"/>
          <w:shd w:val="clear" w:fill="FFFFFF"/>
        </w:rPr>
        <w:t>（填写“签发机关全称”）</w:t>
      </w:r>
      <w:r>
        <w:rPr>
          <w:rFonts w:hint="eastAsia" w:ascii="宋体" w:hAnsi="宋体" w:eastAsia="宋体" w:cs="宋体"/>
          <w:i w:val="0"/>
          <w:iCs w:val="0"/>
          <w:caps w:val="0"/>
          <w:color w:val="auto"/>
          <w:spacing w:val="0"/>
          <w:sz w:val="21"/>
          <w:szCs w:val="21"/>
          <w:shd w:val="clear" w:fill="FFFFFF"/>
        </w:rPr>
        <w:t>签发的我方</w:t>
      </w:r>
      <w:r>
        <w:rPr>
          <w:rFonts w:hint="eastAsia" w:ascii="宋体" w:hAnsi="宋体" w:eastAsia="宋体" w:cs="宋体"/>
          <w:i w:val="0"/>
          <w:iCs w:val="0"/>
          <w:caps w:val="0"/>
          <w:color w:val="auto"/>
          <w:spacing w:val="0"/>
          <w:sz w:val="21"/>
          <w:szCs w:val="21"/>
          <w:u w:val="single"/>
          <w:shd w:val="clear" w:fill="FFFFFF"/>
        </w:rPr>
        <w:t>（请填写自然人的身份证件名称）</w:t>
      </w:r>
      <w:r>
        <w:rPr>
          <w:rFonts w:hint="eastAsia" w:ascii="宋体" w:hAnsi="宋体" w:eastAsia="宋体" w:cs="宋体"/>
          <w:i w:val="0"/>
          <w:iCs w:val="0"/>
          <w:caps w:val="0"/>
          <w:color w:val="auto"/>
          <w:spacing w:val="0"/>
          <w:sz w:val="21"/>
          <w:szCs w:val="21"/>
          <w:shd w:val="clear" w:fill="FFFFFF"/>
        </w:rPr>
        <w:t>复印件，该证明材料真实有效，否则我方负全部责任。</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1、请投标人按照实际情况编制填写，在相应的（）中打“√”并选择相应的“□”（若有）后，再按照本格式的要求提供相应证明材料的复印件。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二-3财务状况报告（财务报告、或资信证明）</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（采购人或采购代理机构）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）投标人提供财务报告的</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□企业适用：现附上我方</w:t>
      </w:r>
      <w:r>
        <w:rPr>
          <w:rFonts w:hint="eastAsia" w:ascii="宋体" w:hAnsi="宋体" w:eastAsia="宋体" w:cs="宋体"/>
          <w:i w:val="0"/>
          <w:iCs w:val="0"/>
          <w:caps w:val="0"/>
          <w:color w:val="auto"/>
          <w:spacing w:val="0"/>
          <w:sz w:val="21"/>
          <w:szCs w:val="21"/>
          <w:u w:val="single"/>
          <w:shd w:val="clear" w:fill="FFFFFF"/>
        </w:rPr>
        <w:t>（填写“具体的年度、或半年度、或季度”）</w:t>
      </w:r>
      <w:r>
        <w:rPr>
          <w:rFonts w:hint="eastAsia" w:ascii="宋体" w:hAnsi="宋体" w:eastAsia="宋体" w:cs="宋体"/>
          <w:i w:val="0"/>
          <w:iCs w:val="0"/>
          <w:caps w:val="0"/>
          <w:color w:val="auto"/>
          <w:spacing w:val="0"/>
          <w:sz w:val="21"/>
          <w:szCs w:val="21"/>
          <w:shd w:val="clear" w:fill="FFFFFF"/>
        </w:rPr>
        <w:t>财务报告复印件，包括资产负债表、利润表、现金流量表、所有者权益变动表（若有）及其附注（若有）、会计师事务所营业执照和注册会计师资格证书，上述证明材料真实有效，否则我方负全部责任。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□事业单位适用：现附上我方</w:t>
      </w:r>
      <w:r>
        <w:rPr>
          <w:rFonts w:hint="eastAsia" w:ascii="宋体" w:hAnsi="宋体" w:eastAsia="宋体" w:cs="宋体"/>
          <w:i w:val="0"/>
          <w:iCs w:val="0"/>
          <w:caps w:val="0"/>
          <w:color w:val="auto"/>
          <w:spacing w:val="0"/>
          <w:sz w:val="21"/>
          <w:szCs w:val="21"/>
          <w:u w:val="single"/>
          <w:shd w:val="clear" w:fill="FFFFFF"/>
        </w:rPr>
        <w:t>（填写“具体的年度、或半年度、或季度”）</w:t>
      </w:r>
      <w:r>
        <w:rPr>
          <w:rFonts w:hint="eastAsia" w:ascii="宋体" w:hAnsi="宋体" w:eastAsia="宋体" w:cs="宋体"/>
          <w:i w:val="0"/>
          <w:iCs w:val="0"/>
          <w:caps w:val="0"/>
          <w:color w:val="auto"/>
          <w:spacing w:val="0"/>
          <w:sz w:val="21"/>
          <w:szCs w:val="21"/>
          <w:shd w:val="clear" w:fill="FFFFFF"/>
        </w:rPr>
        <w:t>财务报告复印件，包括资产负债表、收入支出表（或收入费用表）、财政补助收入支出表（若有）、会计师事务所营业执照和注册会计师资格证书，上述证明材料真实有效，否则我方负全部责任。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□社会团体、民办非企适用：现附上我方</w:t>
      </w:r>
      <w:r>
        <w:rPr>
          <w:rFonts w:hint="eastAsia" w:ascii="宋体" w:hAnsi="宋体" w:eastAsia="宋体" w:cs="宋体"/>
          <w:i w:val="0"/>
          <w:iCs w:val="0"/>
          <w:caps w:val="0"/>
          <w:color w:val="auto"/>
          <w:spacing w:val="0"/>
          <w:sz w:val="21"/>
          <w:szCs w:val="21"/>
          <w:u w:val="single"/>
          <w:shd w:val="clear" w:fill="FFFFFF"/>
        </w:rPr>
        <w:t>（填写“具体的年度、或半年度、或季度”）</w:t>
      </w:r>
      <w:r>
        <w:rPr>
          <w:rFonts w:hint="eastAsia" w:ascii="宋体" w:hAnsi="宋体" w:eastAsia="宋体" w:cs="宋体"/>
          <w:i w:val="0"/>
          <w:iCs w:val="0"/>
          <w:caps w:val="0"/>
          <w:color w:val="auto"/>
          <w:spacing w:val="0"/>
          <w:sz w:val="21"/>
          <w:szCs w:val="21"/>
          <w:shd w:val="clear" w:fill="FFFFFF"/>
        </w:rPr>
        <w:t>财务报告复印件，包括资产负债表、业务活动表、现金流量表、会计师事务所营业执照和注册会计师资格证书，上述证明材料真实有效，否则我方负全部责任。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）投标人提供资信证明的</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□非自然人适用（包括企业、事业单位、社会团体和其他组织）：现附上我方银行：（填写“开户银行全称”）出具的资信证明复印件，上述证明材料真实有效，否则我方负全部责任。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□自然人适用：现附上我方银行：</w:t>
      </w:r>
      <w:r>
        <w:rPr>
          <w:rFonts w:hint="eastAsia" w:ascii="宋体" w:hAnsi="宋体" w:eastAsia="宋体" w:cs="宋体"/>
          <w:i w:val="0"/>
          <w:iCs w:val="0"/>
          <w:caps w:val="0"/>
          <w:color w:val="auto"/>
          <w:spacing w:val="0"/>
          <w:sz w:val="21"/>
          <w:szCs w:val="21"/>
          <w:u w:val="single"/>
          <w:shd w:val="clear" w:fill="FFFFFF"/>
        </w:rPr>
        <w:t>（填写自然人的“个人账户的开户银行全称”）</w:t>
      </w:r>
      <w:r>
        <w:rPr>
          <w:rFonts w:hint="eastAsia" w:ascii="宋体" w:hAnsi="宋体" w:eastAsia="宋体" w:cs="宋体"/>
          <w:i w:val="0"/>
          <w:iCs w:val="0"/>
          <w:caps w:val="0"/>
          <w:color w:val="auto"/>
          <w:spacing w:val="0"/>
          <w:sz w:val="21"/>
          <w:szCs w:val="21"/>
          <w:shd w:val="clear" w:fill="FFFFFF"/>
        </w:rPr>
        <w:t>出具的资信证明复印件，上述证明材料真实有效，否则我方负全部责任。</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1、请投标人按照实际情况编制填写，在相应的（）中打“√”并选择相应的“□”（若有）后，再按照本格式的要求提供相应证明材料的复印件。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2、投标人提供的财务报告复印件（成立年限按照投标截止时间推算）应符合下列规定：</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2.1成立年限满</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年及以上的投标人，提供经审计的招标文件规定的年度财务报告。</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2.2成立年限满半年但不足</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年的投标人，提供该半年度中任一季度的季度财务报告或该半年度的半年度财务报告。</w:t>
      </w:r>
    </w:p>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4"/>
          <w:szCs w:val="24"/>
          <w:shd w:val="clear" w:fill="FFFFFF"/>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8"/>
        <w:keepNext w:val="0"/>
        <w:keepLines w:val="0"/>
        <w:widowControl/>
        <w:suppressLineNumbers w:val="0"/>
        <w:spacing w:before="0" w:beforeAutospacing="0" w:after="240" w:afterAutospacing="0"/>
        <w:ind w:left="-362" w:right="-362"/>
        <w:rPr>
          <w:color w:val="auto"/>
        </w:rPr>
      </w:pP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二</w:t>
      </w:r>
      <w:r>
        <w:rPr>
          <w:rStyle w:val="11"/>
          <w:rFonts w:hint="eastAsia" w:ascii="宋体" w:hAnsi="宋体" w:eastAsia="宋体" w:cs="宋体"/>
          <w:b/>
          <w:bCs/>
          <w:i w:val="0"/>
          <w:iCs w:val="0"/>
          <w:caps w:val="0"/>
          <w:color w:val="auto"/>
          <w:spacing w:val="0"/>
          <w:sz w:val="21"/>
          <w:szCs w:val="21"/>
          <w:shd w:val="clear" w:fill="FFFFFF"/>
        </w:rPr>
        <w:t>-4依法缴纳税收证明材料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（采购人或采购代理机构）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1、依法缴纳税收的投标人</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）法人（包括企业、事业单位和社会团体）的</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现附上自</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日至</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日期间我方缴纳</w:t>
      </w:r>
      <w:r>
        <w:rPr>
          <w:rFonts w:hint="eastAsia" w:ascii="宋体" w:hAnsi="宋体" w:eastAsia="宋体" w:cs="宋体"/>
          <w:i w:val="0"/>
          <w:iCs w:val="0"/>
          <w:caps w:val="0"/>
          <w:color w:val="auto"/>
          <w:spacing w:val="0"/>
          <w:sz w:val="21"/>
          <w:szCs w:val="21"/>
          <w:u w:val="single"/>
          <w:shd w:val="clear" w:fill="FFFFFF"/>
        </w:rPr>
        <w:t>（包括但不限于税务机关出具的专用收据、税收缴纳证明或税收代缴银行的缴款收讫凭证）等</w:t>
      </w:r>
      <w:r>
        <w:rPr>
          <w:rFonts w:hint="eastAsia" w:ascii="宋体" w:hAnsi="宋体" w:eastAsia="宋体" w:cs="宋体"/>
          <w:i w:val="0"/>
          <w:iCs w:val="0"/>
          <w:caps w:val="0"/>
          <w:color w:val="auto"/>
          <w:spacing w:val="0"/>
          <w:sz w:val="21"/>
          <w:szCs w:val="21"/>
          <w:shd w:val="clear" w:fill="FFFFFF"/>
        </w:rPr>
        <w:t>税收凭据复印件，上述证明材料真实有效，否则我方负全部责任。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）非法人（包括其他组织、自然人）的</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现附上自</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日至</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日期间我方缴纳</w:t>
      </w:r>
      <w:r>
        <w:rPr>
          <w:rFonts w:hint="eastAsia" w:ascii="宋体" w:hAnsi="宋体" w:eastAsia="宋体" w:cs="宋体"/>
          <w:i w:val="0"/>
          <w:iCs w:val="0"/>
          <w:caps w:val="0"/>
          <w:color w:val="auto"/>
          <w:spacing w:val="0"/>
          <w:sz w:val="21"/>
          <w:szCs w:val="21"/>
          <w:u w:val="single"/>
          <w:shd w:val="clear" w:fill="FFFFFF"/>
        </w:rPr>
        <w:t>（包括但不限于税务机关出具的专用收据、税收缴纳证明或税收代缴银行的缴款收讫凭证）等</w:t>
      </w:r>
      <w:r>
        <w:rPr>
          <w:rFonts w:hint="eastAsia" w:ascii="宋体" w:hAnsi="宋体" w:eastAsia="宋体" w:cs="宋体"/>
          <w:i w:val="0"/>
          <w:iCs w:val="0"/>
          <w:caps w:val="0"/>
          <w:color w:val="auto"/>
          <w:spacing w:val="0"/>
          <w:sz w:val="21"/>
          <w:szCs w:val="21"/>
          <w:shd w:val="clear" w:fill="FFFFFF"/>
        </w:rPr>
        <w:t>税收凭据复印件，上述证明材料真实有效，否则我方负全部责任。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2、依法免税的投标人</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）现附上我方依法免税证明材料复印件，上述证明材料真实有效，否则我方负全部责任。</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1、请投标人按照实际情况编制填写，在相应的（）中打“√”，并按照本格式的要求提供相应证明材料的复印件。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2、投标人提供的税收凭据复印件应符合下列规定：</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2.1投标截止时间前（不含投标截止时间的当月）已依法缴纳税收的投标人，提供投标截止时间前六个月（不含投标截止时间的当月）中任一月份的税收凭据复印件。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2.2投标截止时间的当月成立且已依法缴纳税收的投标人，提供投标截止时间当月的税收凭据复印件。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2.3投标截止时间的当月成立但因税务机关原因导致其尚未依法缴纳税收的投标人，提供依法缴纳税收承诺书（格式自拟），该承诺书视同税收凭据。</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二-5依法缴纳社会保障资金证明材料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（采购人或采购代理机构）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1、依法缴纳社会保障资金的投标人</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）法人（包括企业、事业单位和社会团体）的</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现附上自</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日至</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）非法人（包括其他组织、自然人）的</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自</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日至</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2、依法不需要缴纳社会保障资金的投标人</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）现附上我方依法不需要缴纳社会保障资金证明材料复印件，上述证明材料真实有效，否则我方负全部责任。</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1、请投标人按照实际情况编制填写，在相应的（）中打“√”，并按照本格式的要求提供相应证明材料的复印件。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2、投标人提供的社会保险凭据复印件应符合下列规定：</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2.1投标截止时间前（不含投标截止时间的当月）已依法缴纳社会保障资金的投标人，提供投标截止时间前六个月（不含投标截止时间的当月）中任一月份的社会保险凭据复印件。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2.2投标截止时间的当月成立且已依法缴纳社会保障资金的投标人，提供投标截止时间当月的社会保险凭据复印件。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2.3投标截止时间的当月成立但因税务机关</w:t>
      </w:r>
      <w:r>
        <w:rPr>
          <w:rFonts w:hint="default" w:ascii="Calibri" w:hAnsi="Calibri" w:eastAsia="宋体" w:cs="Calibri"/>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t>社会保障资金管理机关原因导致其尚未依法缴纳社会保障资金的投标人，提供依法缴纳社会保障资金承诺书（格式自拟），该承诺书视同社会保险凭据。</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二</w:t>
      </w:r>
      <w:r>
        <w:rPr>
          <w:rStyle w:val="11"/>
          <w:rFonts w:hint="eastAsia" w:ascii="宋体" w:hAnsi="宋体" w:eastAsia="宋体" w:cs="宋体"/>
          <w:b/>
          <w:bCs/>
          <w:i w:val="0"/>
          <w:iCs w:val="0"/>
          <w:caps w:val="0"/>
          <w:color w:val="auto"/>
          <w:spacing w:val="0"/>
          <w:sz w:val="21"/>
          <w:szCs w:val="21"/>
          <w:shd w:val="clear" w:fill="FFFFFF"/>
        </w:rPr>
        <w:t>-6具备履行合同所必需设备和专业技术能力的声明函（若有）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（采购人或采购代理机构）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我方具备履行合同所必需的设备和专业技术能力，否则产生不利后果由我方承担责任。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特此声明。</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1、招标文件未要求投标人提供“具备履行合同所必需的设备和专业技术能力专项证明材料”的，投标人应提供本声明函。</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2、招标文件要求投标人提供“具备履行合同所必需的设备和专业技术能力专项证明材料”的，投标人可不提供本声明函。</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3、请投标人根据实际情况如实声明，否则</w:t>
      </w:r>
      <w:r>
        <w:rPr>
          <w:rStyle w:val="11"/>
          <w:rFonts w:hint="eastAsia" w:ascii="宋体" w:hAnsi="宋体" w:eastAsia="宋体" w:cs="宋体"/>
          <w:b/>
          <w:bCs/>
          <w:i w:val="0"/>
          <w:iCs w:val="0"/>
          <w:caps w:val="0"/>
          <w:color w:val="auto"/>
          <w:spacing w:val="0"/>
          <w:sz w:val="21"/>
          <w:szCs w:val="21"/>
          <w:shd w:val="clear" w:fill="FFFFFF"/>
        </w:rPr>
        <w:t>视为提供虚假材料。</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二</w:t>
      </w:r>
      <w:r>
        <w:rPr>
          <w:rStyle w:val="11"/>
          <w:rFonts w:hint="eastAsia" w:ascii="宋体" w:hAnsi="宋体" w:eastAsia="宋体" w:cs="宋体"/>
          <w:b/>
          <w:bCs/>
          <w:i w:val="0"/>
          <w:iCs w:val="0"/>
          <w:caps w:val="0"/>
          <w:color w:val="auto"/>
          <w:spacing w:val="0"/>
          <w:sz w:val="21"/>
          <w:szCs w:val="21"/>
          <w:shd w:val="clear" w:fill="FFFFFF"/>
        </w:rPr>
        <w:t>-7参加采购活动前三年内在经营活动中没有重大违法记录书面声明</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（采购人或采购代理机构）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特此声明。</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请投标人根据实际情况如实声明，否则</w:t>
      </w:r>
      <w:r>
        <w:rPr>
          <w:rStyle w:val="11"/>
          <w:rFonts w:hint="eastAsia" w:ascii="宋体" w:hAnsi="宋体" w:eastAsia="宋体" w:cs="宋体"/>
          <w:b/>
          <w:bCs/>
          <w:i w:val="0"/>
          <w:iCs w:val="0"/>
          <w:caps w:val="0"/>
          <w:color w:val="auto"/>
          <w:spacing w:val="0"/>
          <w:sz w:val="21"/>
          <w:szCs w:val="21"/>
          <w:shd w:val="clear" w:fill="FFFFFF"/>
        </w:rPr>
        <w:t>视为提供虚假材料。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二</w:t>
      </w:r>
      <w:r>
        <w:rPr>
          <w:rStyle w:val="11"/>
          <w:rFonts w:hint="eastAsia" w:ascii="宋体" w:hAnsi="宋体" w:eastAsia="宋体" w:cs="宋体"/>
          <w:b/>
          <w:bCs/>
          <w:i w:val="0"/>
          <w:iCs w:val="0"/>
          <w:caps w:val="0"/>
          <w:color w:val="auto"/>
          <w:spacing w:val="0"/>
          <w:sz w:val="21"/>
          <w:szCs w:val="21"/>
          <w:shd w:val="clear" w:fill="FFFFFF"/>
        </w:rPr>
        <w:t>-8信用记录查询提示</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19"/>
          <w:szCs w:val="19"/>
          <w:shd w:val="clear" w:fill="FFFFFF"/>
        </w:rPr>
        <w:t>  1、由资格审查小组通过网站查询并打印投标人的信用记录。</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19"/>
          <w:szCs w:val="19"/>
          <w:shd w:val="clear" w:fill="FFFFFF"/>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19"/>
          <w:szCs w:val="19"/>
          <w:shd w:val="clear" w:fill="FFFFFF"/>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0" w:beforeAutospacing="0" w:after="150" w:afterAutospacing="0"/>
        <w:ind w:left="-362" w:right="-362"/>
        <w:jc w:val="center"/>
        <w:rPr>
          <w:color w:val="auto"/>
        </w:rPr>
      </w:pPr>
    </w:p>
    <w:p>
      <w:pPr>
        <w:pStyle w:val="3"/>
        <w:keepNext w:val="0"/>
        <w:keepLines w:val="0"/>
        <w:widowControl/>
        <w:suppressLineNumbers w:val="0"/>
        <w:spacing w:before="150" w:beforeAutospacing="0" w:after="150" w:afterAutospacing="0" w:line="17" w:lineRule="atLeast"/>
        <w:ind w:left="-362" w:right="-362"/>
        <w:jc w:val="center"/>
        <w:rPr>
          <w:rFonts w:ascii="Helvetica" w:hAnsi="Helvetica" w:eastAsia="Helvetica" w:cs="Helvetica"/>
          <w:b w:val="0"/>
          <w:bCs w:val="0"/>
          <w:color w:val="auto"/>
          <w:sz w:val="27"/>
          <w:szCs w:val="27"/>
        </w:rPr>
      </w:pPr>
      <w:r>
        <w:rPr>
          <w:rStyle w:val="11"/>
          <w:rFonts w:hint="eastAsia" w:ascii="宋体" w:hAnsi="宋体" w:eastAsia="宋体" w:cs="宋体"/>
          <w:b/>
          <w:bCs/>
          <w:i w:val="0"/>
          <w:iCs w:val="0"/>
          <w:caps w:val="0"/>
          <w:color w:val="auto"/>
          <w:spacing w:val="0"/>
          <w:sz w:val="27"/>
          <w:szCs w:val="27"/>
          <w:shd w:val="clear" w:fill="FFFFFF"/>
        </w:rPr>
        <w:t>二-9中小企业声明函</w:t>
      </w:r>
    </w:p>
    <w:p>
      <w:pPr>
        <w:pStyle w:val="8"/>
        <w:keepNext w:val="0"/>
        <w:keepLines w:val="0"/>
        <w:widowControl/>
        <w:suppressLineNumbers w:val="0"/>
        <w:spacing w:before="0" w:beforeAutospacing="0" w:after="24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（以资格条件落实中小企业扶持政策时适用，若有）</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中小企业声明函（货物）</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sz w:val="21"/>
          <w:szCs w:val="21"/>
          <w:u w:val="single"/>
          <w:shd w:val="clear" w:fill="FFFFFF"/>
        </w:rPr>
        <w:t>（单位名称）</w:t>
      </w:r>
      <w:r>
        <w:rPr>
          <w:rFonts w:hint="eastAsia" w:ascii="宋体" w:hAnsi="宋体" w:eastAsia="宋体" w:cs="宋体"/>
          <w:i w:val="0"/>
          <w:iCs w:val="0"/>
          <w:caps w:val="0"/>
          <w:color w:val="auto"/>
          <w:spacing w:val="0"/>
          <w:sz w:val="21"/>
          <w:szCs w:val="21"/>
          <w:shd w:val="clear" w:fill="FFFFFF"/>
        </w:rPr>
        <w:t>的</w:t>
      </w:r>
      <w:r>
        <w:rPr>
          <w:rFonts w:hint="eastAsia" w:ascii="宋体" w:hAnsi="宋体" w:eastAsia="宋体" w:cs="宋体"/>
          <w:i w:val="0"/>
          <w:iCs w:val="0"/>
          <w:caps w:val="0"/>
          <w:color w:val="auto"/>
          <w:spacing w:val="0"/>
          <w:sz w:val="21"/>
          <w:szCs w:val="21"/>
          <w:u w:val="single"/>
          <w:shd w:val="clear" w:fill="FFFFFF"/>
        </w:rPr>
        <w:t>（项目名称）</w:t>
      </w:r>
      <w:r>
        <w:rPr>
          <w:rFonts w:hint="eastAsia" w:ascii="宋体" w:hAnsi="宋体" w:eastAsia="宋体" w:cs="宋体"/>
          <w:i w:val="0"/>
          <w:iCs w:val="0"/>
          <w:caps w:val="0"/>
          <w:color w:val="auto"/>
          <w:spacing w:val="0"/>
          <w:sz w:val="21"/>
          <w:szCs w:val="21"/>
          <w:shd w:val="clear" w:fill="FFFFFF"/>
        </w:rPr>
        <w:t>采购活动，提供的货物全部由符合政策要求的中小企业制造。相关企业（含联合体中的中小企业、签订分包意向协议的中小企业）的具体情况如下：</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1. </w:t>
      </w:r>
      <w:r>
        <w:rPr>
          <w:rFonts w:hint="eastAsia" w:ascii="宋体" w:hAnsi="宋体" w:eastAsia="宋体" w:cs="宋体"/>
          <w:i w:val="0"/>
          <w:iCs w:val="0"/>
          <w:caps w:val="0"/>
          <w:color w:val="auto"/>
          <w:spacing w:val="0"/>
          <w:sz w:val="21"/>
          <w:szCs w:val="21"/>
          <w:u w:val="single"/>
          <w:shd w:val="clear" w:fill="FFFFFF"/>
        </w:rPr>
        <w:t> （标的名称） </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（采购文件中明确的所属行业）行业</w:t>
      </w:r>
      <w:r>
        <w:rPr>
          <w:rFonts w:hint="eastAsia" w:ascii="宋体" w:hAnsi="宋体" w:eastAsia="宋体" w:cs="宋体"/>
          <w:i w:val="0"/>
          <w:iCs w:val="0"/>
          <w:caps w:val="0"/>
          <w:color w:val="auto"/>
          <w:spacing w:val="0"/>
          <w:sz w:val="21"/>
          <w:szCs w:val="21"/>
          <w:shd w:val="clear" w:fill="FFFFFF"/>
        </w:rPr>
        <w:t>；制造商为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w:t>
      </w:r>
      <w:r>
        <w:rPr>
          <w:rFonts w:hint="eastAsia" w:ascii="宋体" w:hAnsi="宋体" w:eastAsia="宋体" w:cs="宋体"/>
          <w:i w:val="0"/>
          <w:iCs w:val="0"/>
          <w:caps w:val="0"/>
          <w:color w:val="auto"/>
          <w:spacing w:val="0"/>
          <w:sz w:val="21"/>
          <w:szCs w:val="21"/>
          <w:shd w:val="clear" w:fill="FFFFFF"/>
          <w:vertAlign w:val="superscript"/>
        </w:rPr>
        <w:t>1</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（中型企业、小型企业、微型企业）；</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2. </w:t>
      </w:r>
      <w:r>
        <w:rPr>
          <w:rFonts w:hint="eastAsia" w:ascii="宋体" w:hAnsi="宋体" w:eastAsia="宋体" w:cs="宋体"/>
          <w:i w:val="0"/>
          <w:iCs w:val="0"/>
          <w:caps w:val="0"/>
          <w:color w:val="auto"/>
          <w:spacing w:val="0"/>
          <w:sz w:val="21"/>
          <w:szCs w:val="21"/>
          <w:u w:val="single"/>
          <w:shd w:val="clear" w:fill="FFFFFF"/>
        </w:rPr>
        <w:t> （标的名称） </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 （采购文件中明确的所属行业 ）行业；</w:t>
      </w:r>
      <w:r>
        <w:rPr>
          <w:rFonts w:hint="eastAsia" w:ascii="宋体" w:hAnsi="宋体" w:eastAsia="宋体" w:cs="宋体"/>
          <w:i w:val="0"/>
          <w:iCs w:val="0"/>
          <w:caps w:val="0"/>
          <w:color w:val="auto"/>
          <w:spacing w:val="0"/>
          <w:sz w:val="21"/>
          <w:szCs w:val="21"/>
          <w:shd w:val="clear" w:fill="FFFFFF"/>
        </w:rPr>
        <w:t>制造商为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万元，属于</w:t>
      </w:r>
      <w:r>
        <w:rPr>
          <w:rFonts w:hint="eastAsia" w:ascii="宋体" w:hAnsi="宋体" w:eastAsia="宋体" w:cs="宋体"/>
          <w:i w:val="0"/>
          <w:iCs w:val="0"/>
          <w:caps w:val="0"/>
          <w:color w:val="auto"/>
          <w:spacing w:val="0"/>
          <w:sz w:val="21"/>
          <w:szCs w:val="21"/>
          <w:u w:val="single"/>
          <w:shd w:val="clear" w:fill="FFFFFF"/>
        </w:rPr>
        <w:t>（中型企业、小型企业、微型企业）；</w:t>
      </w:r>
    </w:p>
    <w:p>
      <w:pPr>
        <w:pStyle w:val="8"/>
        <w:keepNext w:val="0"/>
        <w:keepLines w:val="0"/>
        <w:widowControl/>
        <w:suppressLineNumbers w:val="0"/>
        <w:spacing w:before="76" w:beforeAutospacing="0" w:after="76" w:afterAutospacing="0"/>
        <w:ind w:left="-362" w:right="-362" w:firstLine="420"/>
        <w:rPr>
          <w:color w:val="auto"/>
        </w:rPr>
      </w:pPr>
      <w:r>
        <w:rPr>
          <w:rFonts w:hint="default" w:ascii="Calibri" w:hAnsi="Calibri" w:eastAsia="微软雅黑" w:cs="Calibri"/>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以上企业，不属于大企业的分支机构，不存在控股股东为大企业的情形，也不存在与大企业的负责人为同一人的情形。</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本企业对上述声明内容的真实性负责。如有虚假，将依法承担相应责任。</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企业名称（盖章）：</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日期：</w:t>
      </w:r>
    </w:p>
    <w:p>
      <w:pPr>
        <w:pStyle w:val="8"/>
        <w:keepNext w:val="0"/>
        <w:keepLines w:val="0"/>
        <w:widowControl/>
        <w:suppressLineNumbers w:val="0"/>
        <w:spacing w:before="76" w:beforeAutospacing="0" w:after="76"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※注意：</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1、从业人员、营业收入、资产总额填报上一年度数据，无上一年度数据的新成立企业可不填报。</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keepNext w:val="0"/>
        <w:keepLines w:val="0"/>
        <w:widowControl/>
        <w:suppressLineNumbers w:val="0"/>
        <w:spacing w:before="0" w:beforeAutospacing="0" w:after="240" w:afterAutospacing="0"/>
        <w:ind w:left="-362" w:right="-362"/>
        <w:rPr>
          <w:color w:val="auto"/>
        </w:rPr>
      </w:pPr>
    </w:p>
    <w:p>
      <w:pPr>
        <w:pStyle w:val="4"/>
        <w:keepNext w:val="0"/>
        <w:keepLines w:val="0"/>
        <w:widowControl/>
        <w:suppressLineNumbers w:val="0"/>
        <w:spacing w:before="150" w:beforeAutospacing="0" w:after="150" w:afterAutospacing="0" w:line="17" w:lineRule="atLeast"/>
        <w:ind w:left="-362" w:right="-362"/>
        <w:jc w:val="center"/>
        <w:rPr>
          <w:rFonts w:hint="default" w:ascii="Helvetica" w:hAnsi="Helvetica" w:eastAsia="Helvetica" w:cs="Helvetica"/>
          <w:b w:val="0"/>
          <w:bCs w:val="0"/>
          <w:color w:val="auto"/>
          <w:sz w:val="22"/>
          <w:szCs w:val="22"/>
        </w:rPr>
      </w:pPr>
      <w:r>
        <w:rPr>
          <w:rStyle w:val="11"/>
          <w:rFonts w:hint="eastAsia" w:ascii="宋体" w:hAnsi="宋体" w:eastAsia="宋体" w:cs="宋体"/>
          <w:b/>
          <w:bCs/>
          <w:i w:val="0"/>
          <w:iCs w:val="0"/>
          <w:caps w:val="0"/>
          <w:color w:val="auto"/>
          <w:spacing w:val="0"/>
          <w:sz w:val="24"/>
          <w:szCs w:val="24"/>
          <w:shd w:val="clear" w:fill="FFFFFF"/>
        </w:rPr>
        <w:t>中小企业声明函（工程、服务）</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sz w:val="21"/>
          <w:szCs w:val="21"/>
          <w:u w:val="single"/>
          <w:shd w:val="clear" w:fill="FFFFFF"/>
        </w:rPr>
        <w:t>（单位名称）</w:t>
      </w:r>
      <w:r>
        <w:rPr>
          <w:rFonts w:hint="eastAsia" w:ascii="宋体" w:hAnsi="宋体" w:eastAsia="宋体" w:cs="宋体"/>
          <w:i w:val="0"/>
          <w:iCs w:val="0"/>
          <w:caps w:val="0"/>
          <w:color w:val="auto"/>
          <w:spacing w:val="0"/>
          <w:sz w:val="21"/>
          <w:szCs w:val="21"/>
          <w:shd w:val="clear" w:fill="FFFFFF"/>
        </w:rPr>
        <w:t>的</w:t>
      </w:r>
      <w:r>
        <w:rPr>
          <w:rFonts w:hint="eastAsia" w:ascii="宋体" w:hAnsi="宋体" w:eastAsia="宋体" w:cs="宋体"/>
          <w:i w:val="0"/>
          <w:iCs w:val="0"/>
          <w:caps w:val="0"/>
          <w:color w:val="auto"/>
          <w:spacing w:val="0"/>
          <w:sz w:val="21"/>
          <w:szCs w:val="21"/>
          <w:u w:val="single"/>
          <w:shd w:val="clear" w:fill="FFFFFF"/>
        </w:rPr>
        <w:t>（项目名称）</w:t>
      </w:r>
      <w:r>
        <w:rPr>
          <w:rFonts w:hint="eastAsia" w:ascii="宋体" w:hAnsi="宋体" w:eastAsia="宋体" w:cs="宋体"/>
          <w:i w:val="0"/>
          <w:iCs w:val="0"/>
          <w:caps w:val="0"/>
          <w:color w:val="auto"/>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1. </w:t>
      </w:r>
      <w:r>
        <w:rPr>
          <w:rFonts w:hint="eastAsia" w:ascii="宋体" w:hAnsi="宋体" w:eastAsia="宋体" w:cs="宋体"/>
          <w:i w:val="0"/>
          <w:iCs w:val="0"/>
          <w:caps w:val="0"/>
          <w:color w:val="auto"/>
          <w:spacing w:val="0"/>
          <w:sz w:val="21"/>
          <w:szCs w:val="21"/>
          <w:u w:val="single"/>
          <w:shd w:val="clear" w:fill="FFFFFF"/>
        </w:rPr>
        <w:t>（标的名称）</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（采购文件中明确的所属行业）</w:t>
      </w:r>
      <w:r>
        <w:rPr>
          <w:rFonts w:hint="eastAsia" w:ascii="宋体" w:hAnsi="宋体" w:eastAsia="宋体" w:cs="宋体"/>
          <w:i w:val="0"/>
          <w:iCs w:val="0"/>
          <w:caps w:val="0"/>
          <w:color w:val="auto"/>
          <w:spacing w:val="0"/>
          <w:sz w:val="21"/>
          <w:szCs w:val="21"/>
          <w:shd w:val="clear" w:fill="FFFFFF"/>
        </w:rPr>
        <w:t>；承建（承接）企业为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w:t>
      </w:r>
      <w:r>
        <w:rPr>
          <w:rFonts w:hint="eastAsia" w:ascii="宋体" w:hAnsi="宋体" w:eastAsia="宋体" w:cs="宋体"/>
          <w:i w:val="0"/>
          <w:iCs w:val="0"/>
          <w:caps w:val="0"/>
          <w:color w:val="auto"/>
          <w:spacing w:val="0"/>
          <w:sz w:val="21"/>
          <w:szCs w:val="21"/>
          <w:shd w:val="clear" w:fill="FFFFFF"/>
          <w:vertAlign w:val="superscript"/>
        </w:rPr>
        <w:t>1</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（中型企业、小型企业、微型企业）；</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2. </w:t>
      </w:r>
      <w:r>
        <w:rPr>
          <w:rFonts w:hint="eastAsia" w:ascii="宋体" w:hAnsi="宋体" w:eastAsia="宋体" w:cs="宋体"/>
          <w:i w:val="0"/>
          <w:iCs w:val="0"/>
          <w:caps w:val="0"/>
          <w:color w:val="auto"/>
          <w:spacing w:val="0"/>
          <w:sz w:val="21"/>
          <w:szCs w:val="21"/>
          <w:u w:val="single"/>
          <w:shd w:val="clear" w:fill="FFFFFF"/>
        </w:rPr>
        <w:t>（标的名称）</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（采购文件中明确的所属行业）；</w:t>
      </w:r>
      <w:r>
        <w:rPr>
          <w:rFonts w:hint="eastAsia" w:ascii="宋体" w:hAnsi="宋体" w:eastAsia="宋体" w:cs="宋体"/>
          <w:i w:val="0"/>
          <w:iCs w:val="0"/>
          <w:caps w:val="0"/>
          <w:color w:val="auto"/>
          <w:spacing w:val="0"/>
          <w:sz w:val="21"/>
          <w:szCs w:val="21"/>
          <w:shd w:val="clear" w:fill="FFFFFF"/>
        </w:rPr>
        <w:t>承建（承接）企业为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万元，属于</w:t>
      </w:r>
      <w:r>
        <w:rPr>
          <w:rFonts w:hint="eastAsia" w:ascii="宋体" w:hAnsi="宋体" w:eastAsia="宋体" w:cs="宋体"/>
          <w:i w:val="0"/>
          <w:iCs w:val="0"/>
          <w:caps w:val="0"/>
          <w:color w:val="auto"/>
          <w:spacing w:val="0"/>
          <w:sz w:val="21"/>
          <w:szCs w:val="21"/>
          <w:u w:val="single"/>
          <w:shd w:val="clear" w:fill="FFFFFF"/>
        </w:rPr>
        <w:t>（中型企业、小型企业、微型企业）；</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以上企业，不属于大企业的分支机构，不存在控股股东为大企业的情形，也不存在与大企业的负责人为同一人的情形。</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本企业对上述声明内容的真实性负责。如有虚假，将依法承担相应责任。</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 企业名称（盖章）：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日期：</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※注意：</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1、从业人员、营业收入、资产总额填报上一年度数据，无上一年度数据的新成立企业可不填报。</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1"/>
          <w:rFonts w:hint="eastAsia" w:ascii="宋体" w:hAnsi="宋体" w:eastAsia="宋体" w:cs="宋体"/>
          <w:b/>
          <w:bCs/>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1"/>
          <w:rFonts w:hint="default" w:ascii="Calibri" w:hAnsi="Calibri" w:eastAsia="微软雅黑" w:cs="Calibri"/>
          <w:b/>
          <w:bCs/>
          <w:i w:val="0"/>
          <w:iCs w:val="0"/>
          <w:caps w:val="0"/>
          <w:color w:val="auto"/>
          <w:spacing w:val="0"/>
          <w:sz w:val="21"/>
          <w:szCs w:val="21"/>
          <w:shd w:val="clear" w:fill="FFFFFF"/>
        </w:rPr>
        <w:t>     </w:t>
      </w: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240" w:afterAutospacing="0"/>
        <w:ind w:left="-362" w:right="-362"/>
        <w:rPr>
          <w:color w:val="auto"/>
        </w:rPr>
      </w:pPr>
      <w:r>
        <w:rPr>
          <w:rFonts w:hint="eastAsia" w:ascii="宋体" w:hAnsi="宋体" w:eastAsia="宋体" w:cs="宋体"/>
          <w:i w:val="0"/>
          <w:iCs w:val="0"/>
          <w:caps w:val="0"/>
          <w:color w:val="auto"/>
          <w:spacing w:val="0"/>
          <w:sz w:val="21"/>
          <w:szCs w:val="21"/>
          <w:shd w:val="clear" w:fill="FFFFFF"/>
        </w:rPr>
        <w:br w:type="textWrapping"/>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附：</w:t>
      </w:r>
    </w:p>
    <w:p>
      <w:pPr>
        <w:pStyle w:val="8"/>
        <w:keepNext w:val="0"/>
        <w:keepLines w:val="0"/>
        <w:widowControl/>
        <w:suppressLineNumbers w:val="0"/>
        <w:spacing w:before="76" w:beforeAutospacing="0" w:after="76" w:afterAutospacing="0"/>
        <w:ind w:left="-362" w:right="-362"/>
        <w:jc w:val="center"/>
        <w:rPr>
          <w:color w:val="auto"/>
        </w:rPr>
      </w:pPr>
      <w:r>
        <w:rPr>
          <w:rStyle w:val="11"/>
          <w:rFonts w:hint="eastAsia" w:ascii="宋体" w:hAnsi="宋体" w:eastAsia="宋体" w:cs="宋体"/>
          <w:b/>
          <w:bCs/>
          <w:i w:val="0"/>
          <w:iCs w:val="0"/>
          <w:caps w:val="0"/>
          <w:color w:val="auto"/>
          <w:spacing w:val="0"/>
          <w:sz w:val="19"/>
          <w:szCs w:val="19"/>
          <w:shd w:val="clear" w:fill="FFFFFF"/>
        </w:rPr>
        <w:t>残疾人福利性单位声明函</w:t>
      </w:r>
    </w:p>
    <w:p>
      <w:pPr>
        <w:pStyle w:val="8"/>
        <w:keepNext w:val="0"/>
        <w:keepLines w:val="0"/>
        <w:widowControl/>
        <w:suppressLineNumbers w:val="0"/>
        <w:spacing w:before="76" w:beforeAutospacing="0" w:after="76"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（以资格条件落实中小企业扶持政策时适用，若有）</w:t>
      </w:r>
    </w:p>
    <w:p>
      <w:pPr>
        <w:pStyle w:val="8"/>
        <w:keepNext w:val="0"/>
        <w:keepLines w:val="0"/>
        <w:widowControl/>
        <w:suppressLineNumbers w:val="0"/>
        <w:spacing w:before="76" w:beforeAutospacing="0" w:after="76"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iCs w:val="0"/>
          <w:caps w:val="0"/>
          <w:color w:val="auto"/>
          <w:spacing w:val="0"/>
          <w:sz w:val="21"/>
          <w:szCs w:val="21"/>
          <w:u w:val="single"/>
          <w:shd w:val="clear" w:fill="FFFFFF"/>
        </w:rPr>
        <w:t>（填写“项目名称”）</w:t>
      </w:r>
      <w:r>
        <w:rPr>
          <w:rFonts w:hint="eastAsia" w:ascii="宋体" w:hAnsi="宋体" w:eastAsia="宋体" w:cs="宋体"/>
          <w:i w:val="0"/>
          <w:iCs w:val="0"/>
          <w:caps w:val="0"/>
          <w:color w:val="auto"/>
          <w:spacing w:val="0"/>
          <w:sz w:val="21"/>
          <w:szCs w:val="21"/>
          <w:shd w:val="clear" w:fill="FFFFFF"/>
        </w:rPr>
        <w:t>项目采购活动：</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）提供本投标人制造的</w:t>
      </w:r>
      <w:r>
        <w:rPr>
          <w:rFonts w:hint="eastAsia" w:ascii="宋体" w:hAnsi="宋体" w:eastAsia="宋体" w:cs="宋体"/>
          <w:i w:val="0"/>
          <w:iCs w:val="0"/>
          <w:caps w:val="0"/>
          <w:color w:val="auto"/>
          <w:spacing w:val="0"/>
          <w:sz w:val="21"/>
          <w:szCs w:val="21"/>
          <w:u w:val="single"/>
          <w:shd w:val="clear" w:fill="FFFFFF"/>
        </w:rPr>
        <w:t>（填写“所投采购包、品目号”）</w:t>
      </w:r>
      <w:r>
        <w:rPr>
          <w:rFonts w:hint="eastAsia" w:ascii="宋体" w:hAnsi="宋体" w:eastAsia="宋体" w:cs="宋体"/>
          <w:i w:val="0"/>
          <w:iCs w:val="0"/>
          <w:caps w:val="0"/>
          <w:color w:val="auto"/>
          <w:spacing w:val="0"/>
          <w:sz w:val="21"/>
          <w:szCs w:val="21"/>
          <w:shd w:val="clear" w:fill="FFFFFF"/>
        </w:rPr>
        <w:t>货物，或提供其他残疾人福利性单位制造的</w:t>
      </w:r>
      <w:r>
        <w:rPr>
          <w:rFonts w:hint="eastAsia" w:ascii="宋体" w:hAnsi="宋体" w:eastAsia="宋体" w:cs="宋体"/>
          <w:i w:val="0"/>
          <w:iCs w:val="0"/>
          <w:caps w:val="0"/>
          <w:color w:val="auto"/>
          <w:spacing w:val="0"/>
          <w:sz w:val="21"/>
          <w:szCs w:val="21"/>
          <w:u w:val="single"/>
          <w:shd w:val="clear" w:fill="FFFFFF"/>
        </w:rPr>
        <w:t>（填写“所投采购包、品目号”）</w:t>
      </w:r>
      <w:r>
        <w:rPr>
          <w:rFonts w:hint="eastAsia" w:ascii="宋体" w:hAnsi="宋体" w:eastAsia="宋体" w:cs="宋体"/>
          <w:i w:val="0"/>
          <w:iCs w:val="0"/>
          <w:caps w:val="0"/>
          <w:color w:val="auto"/>
          <w:spacing w:val="0"/>
          <w:sz w:val="21"/>
          <w:szCs w:val="21"/>
          <w:shd w:val="clear" w:fill="FFFFFF"/>
        </w:rPr>
        <w:t>货物（不包括使用非残疾人福利性单位注册商标的货物）。（说明：只有部分货物由残疾人福利企业制造的，在该货物后标</w:t>
      </w:r>
      <w:r>
        <w:rPr>
          <w:rFonts w:ascii="Segoe UI Symbol" w:hAnsi="Segoe UI Symbol" w:eastAsia="Segoe UI Symbol" w:cs="Segoe UI Symbol"/>
          <w:i w:val="0"/>
          <w:iCs w:val="0"/>
          <w:caps w:val="0"/>
          <w:color w:val="auto"/>
          <w:spacing w:val="0"/>
          <w:sz w:val="19"/>
          <w:szCs w:val="19"/>
          <w:shd w:val="clear" w:fill="FFFFFF"/>
        </w:rPr>
        <w:t>※</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）由本投标人承建的（填写“所投采购包、品目号”）工程</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）由本投标人承接的（填写“所投采购包、品目号”）服务；</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本投标人对上述声明的真实性负责。如有虚假，将依法承担相应责任。</w:t>
      </w:r>
    </w:p>
    <w:p>
      <w:pPr>
        <w:pStyle w:val="8"/>
        <w:keepNext w:val="0"/>
        <w:keepLines w:val="0"/>
        <w:widowControl/>
        <w:suppressLineNumbers w:val="0"/>
        <w:spacing w:before="76" w:beforeAutospacing="0" w:after="76" w:afterAutospacing="0"/>
        <w:ind w:left="-362" w:right="-362" w:firstLine="420"/>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备注：</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1、请投标人按照实际情况编制填写本声明函，并在相应的（）中打“√”。</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2、若《残疾人福利性单位声明函》内容不真实，</w:t>
      </w:r>
      <w:r>
        <w:rPr>
          <w:rStyle w:val="11"/>
          <w:rFonts w:hint="eastAsia" w:ascii="宋体" w:hAnsi="宋体" w:eastAsia="宋体" w:cs="宋体"/>
          <w:b/>
          <w:bCs/>
          <w:i w:val="0"/>
          <w:iCs w:val="0"/>
          <w:caps w:val="0"/>
          <w:color w:val="auto"/>
          <w:spacing w:val="0"/>
          <w:sz w:val="21"/>
          <w:szCs w:val="21"/>
          <w:shd w:val="clear" w:fill="FFFFFF"/>
        </w:rPr>
        <w:t>视为提供虚假材料。</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76" w:beforeAutospacing="0" w:after="76" w:afterAutospacing="0"/>
        <w:ind w:left="-362" w:right="-362" w:firstLine="420"/>
        <w:rPr>
          <w:color w:val="auto"/>
        </w:rPr>
      </w:pPr>
      <w:r>
        <w:rPr>
          <w:rFonts w:hint="default" w:ascii="Calibri" w:hAnsi="Calibri" w:eastAsia="微软雅黑" w:cs="Calibri"/>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Fonts w:hint="default" w:ascii="Calibri" w:hAnsi="Calibri" w:eastAsia="微软雅黑" w:cs="Calibri"/>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1"/>
          <w:szCs w:val="21"/>
          <w:shd w:val="clear" w:fill="FFFFFF"/>
        </w:rPr>
        <w:t>附：                          </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19"/>
          <w:szCs w:val="19"/>
          <w:shd w:val="clear" w:fill="FFFFFF"/>
        </w:rPr>
        <w:t>监狱企业证明材料</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19"/>
          <w:szCs w:val="19"/>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投标人为监狱企业，提供本单位制造的货物（承接的服务），并在投标文件中提供省级以上监狱管理局、戒毒管理局（含新疆生产建设兵团）出具的属于监狱企业的证明文件。</w:t>
      </w:r>
    </w:p>
    <w:p>
      <w:pPr>
        <w:pStyle w:val="8"/>
        <w:keepNext w:val="0"/>
        <w:keepLines w:val="0"/>
        <w:widowControl/>
        <w:suppressLineNumbers w:val="0"/>
        <w:spacing w:before="0" w:beforeAutospacing="0" w:after="240" w:afterAutospacing="0"/>
        <w:ind w:left="-362" w:right="-362"/>
        <w:rPr>
          <w:color w:val="auto"/>
        </w:rPr>
      </w:pP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二-10联合体协议（若有）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（采购人或采购代理机构）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兹有</w:t>
      </w:r>
      <w:r>
        <w:rPr>
          <w:rFonts w:hint="eastAsia" w:ascii="宋体" w:hAnsi="宋体" w:eastAsia="宋体" w:cs="宋体"/>
          <w:i w:val="0"/>
          <w:iCs w:val="0"/>
          <w:caps w:val="0"/>
          <w:color w:val="auto"/>
          <w:spacing w:val="0"/>
          <w:sz w:val="21"/>
          <w:szCs w:val="21"/>
          <w:u w:val="single"/>
          <w:shd w:val="clear" w:fill="FFFFFF"/>
        </w:rPr>
        <w:t>（填写“联合体中各方的全称”，各方的全称之间请用“、”分割）</w:t>
      </w:r>
      <w:r>
        <w:rPr>
          <w:rFonts w:hint="eastAsia" w:ascii="宋体" w:hAnsi="宋体" w:eastAsia="宋体" w:cs="宋体"/>
          <w:i w:val="0"/>
          <w:iCs w:val="0"/>
          <w:caps w:val="0"/>
          <w:color w:val="auto"/>
          <w:spacing w:val="0"/>
          <w:sz w:val="21"/>
          <w:szCs w:val="21"/>
          <w:shd w:val="clear" w:fill="FFFFFF"/>
        </w:rPr>
        <w:t>自愿组成联合体，共同参加</w:t>
      </w:r>
      <w:r>
        <w:rPr>
          <w:rFonts w:hint="eastAsia" w:ascii="宋体" w:hAnsi="宋体" w:eastAsia="宋体" w:cs="宋体"/>
          <w:i w:val="0"/>
          <w:iCs w:val="0"/>
          <w:caps w:val="0"/>
          <w:color w:val="auto"/>
          <w:spacing w:val="0"/>
          <w:sz w:val="21"/>
          <w:szCs w:val="21"/>
          <w:u w:val="single"/>
          <w:shd w:val="clear" w:fill="FFFFFF"/>
        </w:rPr>
        <w:t>（填写“项目名称”） </w:t>
      </w:r>
      <w:r>
        <w:rPr>
          <w:rFonts w:hint="eastAsia" w:ascii="宋体" w:hAnsi="宋体" w:eastAsia="宋体" w:cs="宋体"/>
          <w:i w:val="0"/>
          <w:iCs w:val="0"/>
          <w:caps w:val="0"/>
          <w:color w:val="auto"/>
          <w:spacing w:val="0"/>
          <w:sz w:val="21"/>
          <w:szCs w:val="21"/>
          <w:shd w:val="clear" w:fill="FFFFFF"/>
        </w:rPr>
        <w:t>项目（项目编号：</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）的投标。现就联合体参加本项目投标的有关事宜达成下列协议：</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一、联合体各方应承担的工作和义务具体如下：</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1、牵头方（</w:t>
      </w:r>
      <w:r>
        <w:rPr>
          <w:rFonts w:hint="eastAsia" w:ascii="宋体" w:hAnsi="宋体" w:eastAsia="宋体" w:cs="宋体"/>
          <w:i w:val="0"/>
          <w:iCs w:val="0"/>
          <w:caps w:val="0"/>
          <w:color w:val="auto"/>
          <w:spacing w:val="0"/>
          <w:sz w:val="21"/>
          <w:szCs w:val="21"/>
          <w:u w:val="single"/>
          <w:shd w:val="clear" w:fill="FFFFFF"/>
        </w:rPr>
        <w:t>全称</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u w:val="single"/>
          <w:shd w:val="clear" w:fill="FFFFFF"/>
        </w:rPr>
        <w:t> （填写“工作及义务的具体内容”） </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2、成员方：</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2.1</w:t>
      </w:r>
      <w:r>
        <w:rPr>
          <w:rFonts w:hint="eastAsia" w:ascii="宋体" w:hAnsi="宋体" w:eastAsia="宋体" w:cs="宋体"/>
          <w:i w:val="0"/>
          <w:iCs w:val="0"/>
          <w:caps w:val="0"/>
          <w:color w:val="auto"/>
          <w:spacing w:val="0"/>
          <w:sz w:val="21"/>
          <w:szCs w:val="21"/>
          <w:u w:val="single"/>
          <w:shd w:val="clear" w:fill="FFFFFF"/>
        </w:rPr>
        <w:t>（成员一的全称）</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u w:val="single"/>
          <w:shd w:val="clear" w:fill="FFFFFF"/>
        </w:rPr>
        <w:t> （填写“工作及义务的具体内容”） </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0" w:beforeAutospacing="0" w:after="150" w:afterAutospacing="0"/>
        <w:ind w:left="-362" w:right="-362" w:firstLine="420"/>
        <w:rPr>
          <w:color w:val="auto"/>
        </w:rPr>
      </w:pPr>
      <w:r>
        <w:rPr>
          <w:rFonts w:hint="default" w:ascii="Calibri" w:hAnsi="Calibri" w:eastAsia="微软雅黑" w:cs="Calibri"/>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line="293" w:lineRule="atLeast"/>
        <w:ind w:left="-362" w:right="-362" w:firstLine="435"/>
        <w:rPr>
          <w:color w:val="auto"/>
        </w:rPr>
      </w:pPr>
      <w:r>
        <w:rPr>
          <w:rFonts w:hint="eastAsia" w:ascii="宋体" w:hAnsi="宋体" w:eastAsia="宋体" w:cs="宋体"/>
          <w:i w:val="0"/>
          <w:iCs w:val="0"/>
          <w:caps w:val="0"/>
          <w:color w:val="auto"/>
          <w:spacing w:val="0"/>
          <w:sz w:val="21"/>
          <w:szCs w:val="21"/>
          <w:shd w:val="clear" w:fill="FFFFFF"/>
        </w:rPr>
        <w:t>二、联合体各方的合同金额占比，具体如下：</w:t>
      </w:r>
    </w:p>
    <w:p>
      <w:pPr>
        <w:pStyle w:val="8"/>
        <w:keepNext w:val="0"/>
        <w:keepLines w:val="0"/>
        <w:widowControl/>
        <w:suppressLineNumbers w:val="0"/>
        <w:spacing w:before="0" w:beforeAutospacing="0" w:after="150" w:afterAutospacing="0" w:line="293" w:lineRule="atLeast"/>
        <w:ind w:left="-362" w:right="-362" w:firstLine="435"/>
        <w:rPr>
          <w:color w:val="auto"/>
        </w:rPr>
      </w:pPr>
      <w:r>
        <w:rPr>
          <w:rFonts w:hint="eastAsia" w:ascii="宋体" w:hAnsi="宋体" w:eastAsia="宋体" w:cs="宋体"/>
          <w:i w:val="0"/>
          <w:iCs w:val="0"/>
          <w:caps w:val="0"/>
          <w:color w:val="auto"/>
          <w:spacing w:val="0"/>
          <w:sz w:val="21"/>
          <w:szCs w:val="21"/>
          <w:shd w:val="clear" w:fill="FFFFFF"/>
        </w:rPr>
        <w:t>1.牵头方（</w:t>
      </w:r>
      <w:r>
        <w:rPr>
          <w:rFonts w:hint="eastAsia" w:ascii="宋体" w:hAnsi="宋体" w:eastAsia="宋体" w:cs="宋体"/>
          <w:i w:val="0"/>
          <w:iCs w:val="0"/>
          <w:caps w:val="0"/>
          <w:color w:val="auto"/>
          <w:spacing w:val="0"/>
          <w:sz w:val="21"/>
          <w:szCs w:val="21"/>
          <w:u w:val="single"/>
          <w:shd w:val="clear" w:fill="FFFFFF"/>
        </w:rPr>
        <w:t>  全称 </w:t>
      </w:r>
      <w:r>
        <w:rPr>
          <w:rFonts w:hint="eastAsia" w:ascii="宋体" w:hAnsi="宋体" w:eastAsia="宋体" w:cs="宋体"/>
          <w:i w:val="0"/>
          <w:iCs w:val="0"/>
          <w:caps w:val="0"/>
          <w:color w:val="auto"/>
          <w:spacing w:val="0"/>
          <w:sz w:val="21"/>
          <w:szCs w:val="21"/>
          <w:shd w:val="clear" w:fill="FFFFFF"/>
        </w:rPr>
        <w:t>）的合同金额占合同总额的＿%；</w:t>
      </w:r>
    </w:p>
    <w:p>
      <w:pPr>
        <w:pStyle w:val="8"/>
        <w:keepNext w:val="0"/>
        <w:keepLines w:val="0"/>
        <w:widowControl/>
        <w:suppressLineNumbers w:val="0"/>
        <w:spacing w:before="0" w:beforeAutospacing="0" w:after="150" w:afterAutospacing="0" w:line="293" w:lineRule="atLeast"/>
        <w:ind w:left="-362" w:right="-362" w:firstLine="435"/>
        <w:rPr>
          <w:color w:val="auto"/>
        </w:rPr>
      </w:pPr>
      <w:r>
        <w:rPr>
          <w:rFonts w:hint="eastAsia" w:ascii="宋体" w:hAnsi="宋体" w:eastAsia="宋体" w:cs="宋体"/>
          <w:i w:val="0"/>
          <w:iCs w:val="0"/>
          <w:caps w:val="0"/>
          <w:color w:val="auto"/>
          <w:spacing w:val="0"/>
          <w:sz w:val="21"/>
          <w:szCs w:val="21"/>
          <w:shd w:val="clear" w:fill="FFFFFF"/>
        </w:rPr>
        <w:t>2.成员方：</w:t>
      </w:r>
    </w:p>
    <w:p>
      <w:pPr>
        <w:pStyle w:val="8"/>
        <w:keepNext w:val="0"/>
        <w:keepLines w:val="0"/>
        <w:widowControl/>
        <w:suppressLineNumbers w:val="0"/>
        <w:spacing w:before="0" w:beforeAutospacing="0" w:after="150" w:afterAutospacing="0" w:line="293" w:lineRule="atLeast"/>
        <w:ind w:left="-362" w:right="-362" w:firstLine="435"/>
        <w:rPr>
          <w:color w:val="auto"/>
        </w:rPr>
      </w:pPr>
      <w:r>
        <w:rPr>
          <w:rFonts w:hint="eastAsia" w:ascii="宋体" w:hAnsi="宋体" w:eastAsia="宋体" w:cs="宋体"/>
          <w:i w:val="0"/>
          <w:iCs w:val="0"/>
          <w:caps w:val="0"/>
          <w:color w:val="auto"/>
          <w:spacing w:val="0"/>
          <w:sz w:val="21"/>
          <w:szCs w:val="21"/>
          <w:shd w:val="clear" w:fill="FFFFFF"/>
        </w:rPr>
        <w:t>2.1（</w:t>
      </w:r>
      <w:r>
        <w:rPr>
          <w:rFonts w:hint="eastAsia" w:ascii="宋体" w:hAnsi="宋体" w:eastAsia="宋体" w:cs="宋体"/>
          <w:i w:val="0"/>
          <w:iCs w:val="0"/>
          <w:caps w:val="0"/>
          <w:color w:val="auto"/>
          <w:spacing w:val="0"/>
          <w:sz w:val="21"/>
          <w:szCs w:val="21"/>
          <w:u w:val="single"/>
          <w:shd w:val="clear" w:fill="FFFFFF"/>
        </w:rPr>
        <w:t> 成员1的全称 </w:t>
      </w:r>
      <w:r>
        <w:rPr>
          <w:rFonts w:hint="eastAsia" w:ascii="宋体" w:hAnsi="宋体" w:eastAsia="宋体" w:cs="宋体"/>
          <w:i w:val="0"/>
          <w:iCs w:val="0"/>
          <w:caps w:val="0"/>
          <w:color w:val="auto"/>
          <w:spacing w:val="0"/>
          <w:sz w:val="21"/>
          <w:szCs w:val="21"/>
          <w:shd w:val="clear" w:fill="FFFFFF"/>
        </w:rPr>
        <w:t>）的合同金额占合同总额的＿%；</w:t>
      </w:r>
    </w:p>
    <w:p>
      <w:pPr>
        <w:pStyle w:val="8"/>
        <w:keepNext w:val="0"/>
        <w:keepLines w:val="0"/>
        <w:widowControl/>
        <w:suppressLineNumbers w:val="0"/>
        <w:spacing w:before="76" w:beforeAutospacing="0" w:after="76" w:afterAutospacing="0" w:line="293" w:lineRule="atLeast"/>
        <w:ind w:left="-362" w:right="-362" w:firstLine="435"/>
        <w:rPr>
          <w:color w:val="auto"/>
        </w:rPr>
      </w:pP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三、联合体各方约定：</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1、由</w:t>
      </w:r>
      <w:r>
        <w:rPr>
          <w:rFonts w:hint="eastAsia" w:ascii="宋体" w:hAnsi="宋体" w:eastAsia="宋体" w:cs="宋体"/>
          <w:i w:val="0"/>
          <w:iCs w:val="0"/>
          <w:caps w:val="0"/>
          <w:color w:val="auto"/>
          <w:spacing w:val="0"/>
          <w:sz w:val="21"/>
          <w:szCs w:val="21"/>
          <w:u w:val="single"/>
          <w:shd w:val="clear" w:fill="FFFFFF"/>
        </w:rPr>
        <w:t>（填写“牵头方的全称”）</w:t>
      </w:r>
      <w:r>
        <w:rPr>
          <w:rFonts w:hint="eastAsia" w:ascii="宋体" w:hAnsi="宋体" w:eastAsia="宋体" w:cs="宋体"/>
          <w:i w:val="0"/>
          <w:iCs w:val="0"/>
          <w:caps w:val="0"/>
          <w:color w:val="auto"/>
          <w:spacing w:val="0"/>
          <w:sz w:val="21"/>
          <w:szCs w:val="21"/>
          <w:shd w:val="clear" w:fill="FFFFFF"/>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2、联合体各方约定由</w:t>
      </w:r>
      <w:r>
        <w:rPr>
          <w:rFonts w:hint="eastAsia" w:ascii="宋体" w:hAnsi="宋体" w:eastAsia="宋体" w:cs="宋体"/>
          <w:i w:val="0"/>
          <w:iCs w:val="0"/>
          <w:caps w:val="0"/>
          <w:color w:val="auto"/>
          <w:spacing w:val="0"/>
          <w:sz w:val="21"/>
          <w:szCs w:val="21"/>
          <w:u w:val="single"/>
          <w:shd w:val="clear" w:fill="FFFFFF"/>
        </w:rPr>
        <w:t>（填写“牵头方的全称”）</w:t>
      </w:r>
      <w:r>
        <w:rPr>
          <w:rFonts w:hint="eastAsia" w:ascii="宋体" w:hAnsi="宋体" w:eastAsia="宋体" w:cs="宋体"/>
          <w:i w:val="0"/>
          <w:iCs w:val="0"/>
          <w:caps w:val="0"/>
          <w:color w:val="auto"/>
          <w:spacing w:val="0"/>
          <w:sz w:val="21"/>
          <w:szCs w:val="21"/>
          <w:shd w:val="clear" w:fill="FFFFFF"/>
        </w:rPr>
        <w:t>代表联合体办理投标保证金事宜。</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3、根据福建省财政厅文件（闽财购[2008]10号）的规定，若本项目采用综合评分法，则联合体只能确定由其中一方的条件参与商务部分的评标。因此，联合体各方约定以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aps w:val="0"/>
          <w:color w:val="auto"/>
          <w:spacing w:val="0"/>
          <w:sz w:val="21"/>
          <w:szCs w:val="21"/>
          <w:u w:val="single"/>
          <w:shd w:val="clear" w:fill="FFFFFF"/>
        </w:rPr>
        <w:t>（应填写“其中一方的全称”，如：联合体确定以成员一的条件参与商务部分的评标，则填写“成员一的全称”…；否则填写“无”）</w:t>
      </w:r>
      <w:r>
        <w:rPr>
          <w:rFonts w:hint="eastAsia" w:ascii="宋体" w:hAnsi="宋体" w:eastAsia="宋体" w:cs="宋体"/>
          <w:i w:val="0"/>
          <w:iCs w:val="0"/>
          <w:caps w:val="0"/>
          <w:color w:val="auto"/>
          <w:spacing w:val="0"/>
          <w:sz w:val="21"/>
          <w:szCs w:val="21"/>
          <w:shd w:val="clear" w:fill="FFFFFF"/>
        </w:rPr>
        <w:t>的条件参与商务部分的评标。</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四、若中标，牵头方将代表联合体与采购人就合同签订事宜进行协商；若协商一致，则联合体各方将共同与采购人签订政府采购合同，并就政府采购合同约定的事项对采购人承担连带责任。</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五、本协议自签署之日起生效，政府采购合同履行完毕后自动失效。</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六、本协议一式</w:t>
      </w:r>
      <w:r>
        <w:rPr>
          <w:rFonts w:hint="eastAsia" w:ascii="宋体" w:hAnsi="宋体" w:eastAsia="宋体" w:cs="宋体"/>
          <w:i w:val="0"/>
          <w:iCs w:val="0"/>
          <w:caps w:val="0"/>
          <w:color w:val="auto"/>
          <w:spacing w:val="0"/>
          <w:sz w:val="21"/>
          <w:szCs w:val="21"/>
          <w:u w:val="single"/>
          <w:shd w:val="clear" w:fill="FFFFFF"/>
        </w:rPr>
        <w:t>（填写具体份数）</w:t>
      </w:r>
      <w:r>
        <w:rPr>
          <w:rFonts w:hint="eastAsia" w:ascii="宋体" w:hAnsi="宋体" w:eastAsia="宋体" w:cs="宋体"/>
          <w:i w:val="0"/>
          <w:iCs w:val="0"/>
          <w:caps w:val="0"/>
          <w:color w:val="auto"/>
          <w:spacing w:val="0"/>
          <w:sz w:val="21"/>
          <w:szCs w:val="21"/>
          <w:shd w:val="clear" w:fill="FFFFFF"/>
        </w:rPr>
        <w:t>份，联合体各方各执一份，投标文件中提交一份。</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（以下无正文）</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牵头方：</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法定代表人或其委托代理人：</w:t>
      </w:r>
      <w:r>
        <w:rPr>
          <w:rFonts w:hint="eastAsia" w:ascii="宋体" w:hAnsi="宋体" w:eastAsia="宋体" w:cs="宋体"/>
          <w:i w:val="0"/>
          <w:iCs w:val="0"/>
          <w:caps w:val="0"/>
          <w:color w:val="auto"/>
          <w:spacing w:val="0"/>
          <w:sz w:val="21"/>
          <w:szCs w:val="21"/>
          <w:u w:val="single"/>
          <w:shd w:val="clear" w:fill="FFFFFF"/>
        </w:rPr>
        <w:t>  （签字或盖章）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成员一：</w:t>
      </w:r>
      <w:r>
        <w:rPr>
          <w:rFonts w:hint="eastAsia" w:ascii="宋体" w:hAnsi="宋体" w:eastAsia="宋体" w:cs="宋体"/>
          <w:i w:val="0"/>
          <w:iCs w:val="0"/>
          <w:caps w:val="0"/>
          <w:color w:val="auto"/>
          <w:spacing w:val="0"/>
          <w:sz w:val="21"/>
          <w:szCs w:val="21"/>
          <w:u w:val="single"/>
          <w:shd w:val="clear" w:fill="FFFFFF"/>
        </w:rPr>
        <w:t>（全称并加盖成员一的单位公章）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法定代表人或其委托代理人：</w:t>
      </w:r>
      <w:r>
        <w:rPr>
          <w:rFonts w:hint="eastAsia" w:ascii="宋体" w:hAnsi="宋体" w:eastAsia="宋体" w:cs="宋体"/>
          <w:i w:val="0"/>
          <w:iCs w:val="0"/>
          <w:caps w:val="0"/>
          <w:color w:val="auto"/>
          <w:spacing w:val="0"/>
          <w:sz w:val="21"/>
          <w:szCs w:val="21"/>
          <w:u w:val="single"/>
          <w:shd w:val="clear" w:fill="FFFFFF"/>
        </w:rPr>
        <w:t>  （签字或盖章）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成员**：</w:t>
      </w:r>
      <w:r>
        <w:rPr>
          <w:rFonts w:hint="eastAsia" w:ascii="宋体" w:hAnsi="宋体" w:eastAsia="宋体" w:cs="宋体"/>
          <w:i w:val="0"/>
          <w:iCs w:val="0"/>
          <w:caps w:val="0"/>
          <w:color w:val="auto"/>
          <w:spacing w:val="0"/>
          <w:sz w:val="21"/>
          <w:szCs w:val="21"/>
          <w:u w:val="single"/>
          <w:shd w:val="clear" w:fill="FFFFFF"/>
        </w:rPr>
        <w:t>（全称并加盖成员**的单位公章）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法定代表人或其委托代理人：</w:t>
      </w:r>
      <w:r>
        <w:rPr>
          <w:rFonts w:hint="eastAsia" w:ascii="宋体" w:hAnsi="宋体" w:eastAsia="宋体" w:cs="宋体"/>
          <w:i w:val="0"/>
          <w:iCs w:val="0"/>
          <w:caps w:val="0"/>
          <w:color w:val="auto"/>
          <w:spacing w:val="0"/>
          <w:sz w:val="21"/>
          <w:szCs w:val="21"/>
          <w:u w:val="single"/>
          <w:shd w:val="clear" w:fill="FFFFFF"/>
        </w:rPr>
        <w:t>  （签字或盖章）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iCs w:val="0"/>
          <w:caps w:val="0"/>
          <w:color w:val="auto"/>
          <w:spacing w:val="0"/>
          <w:sz w:val="21"/>
          <w:szCs w:val="21"/>
          <w:shd w:val="clear" w:fill="FFFFFF"/>
        </w:rPr>
        <w:t>签署日期：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1、招标文件接受联合体投标且投标人为联合体的，投标人应提供本协议；否则无须提供。</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2、本协议由委托代理人签字或盖章的，应按照本章载明的格式提供“单位授权书”。</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3、在以联合体形式落实中小企业预留份额项目中，投标人除了要提供《中小企业声明函》，还需提供本协议。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24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3"/>
        <w:keepNext w:val="0"/>
        <w:keepLines w:val="0"/>
        <w:widowControl/>
        <w:suppressLineNumbers w:val="0"/>
        <w:spacing w:before="0" w:beforeAutospacing="0" w:after="0" w:afterAutospacing="0" w:line="17" w:lineRule="atLeast"/>
        <w:ind w:left="-362" w:right="-362"/>
        <w:jc w:val="center"/>
        <w:rPr>
          <w:rFonts w:hint="default" w:ascii="Helvetica" w:hAnsi="Helvetica" w:eastAsia="Helvetica" w:cs="Helvetica"/>
          <w:b w:val="0"/>
          <w:bCs w:val="0"/>
          <w:color w:val="auto"/>
          <w:sz w:val="27"/>
          <w:szCs w:val="27"/>
        </w:rPr>
      </w:pPr>
      <w:r>
        <w:rPr>
          <w:rStyle w:val="11"/>
          <w:rFonts w:hint="eastAsia" w:ascii="宋体" w:hAnsi="宋体" w:eastAsia="宋体" w:cs="宋体"/>
          <w:b/>
          <w:bCs/>
          <w:i w:val="0"/>
          <w:iCs w:val="0"/>
          <w:caps w:val="0"/>
          <w:color w:val="auto"/>
          <w:spacing w:val="0"/>
          <w:sz w:val="27"/>
          <w:szCs w:val="27"/>
          <w:shd w:val="clear" w:fill="FFFFFF"/>
        </w:rPr>
        <w:t>二-11分包意向协议（若有）</w:t>
      </w:r>
    </w:p>
    <w:p>
      <w:pPr>
        <w:pStyle w:val="8"/>
        <w:keepNext w:val="0"/>
        <w:keepLines w:val="0"/>
        <w:widowControl/>
        <w:suppressLineNumbers w:val="0"/>
        <w:spacing w:before="0" w:beforeAutospacing="0" w:after="150" w:afterAutospacing="0" w:line="435" w:lineRule="atLeast"/>
        <w:ind w:left="-362" w:right="-362"/>
        <w:rPr>
          <w:color w:val="auto"/>
        </w:rPr>
      </w:pPr>
      <w:r>
        <w:rPr>
          <w:rFonts w:hint="eastAsia" w:ascii="宋体" w:hAnsi="宋体" w:eastAsia="宋体" w:cs="宋体"/>
          <w:i w:val="0"/>
          <w:iCs w:val="0"/>
          <w:caps w:val="0"/>
          <w:color w:val="auto"/>
          <w:spacing w:val="0"/>
          <w:sz w:val="21"/>
          <w:szCs w:val="21"/>
          <w:shd w:val="clear" w:fill="FFFFFF"/>
        </w:rPr>
        <w:t>甲方（总包方）：</w:t>
      </w:r>
      <w:r>
        <w:rPr>
          <w:rFonts w:hint="eastAsia" w:ascii="宋体" w:hAnsi="宋体" w:eastAsia="宋体" w:cs="宋体"/>
          <w:i w:val="0"/>
          <w:iCs w:val="0"/>
          <w:caps w:val="0"/>
          <w:color w:val="auto"/>
          <w:spacing w:val="0"/>
          <w:sz w:val="21"/>
          <w:szCs w:val="21"/>
          <w:u w:val="single"/>
          <w:shd w:val="clear" w:fill="FFFFFF"/>
        </w:rPr>
        <w:t>                          　　　     </w:t>
      </w:r>
      <w:r>
        <w:rPr>
          <w:rFonts w:hint="eastAsia" w:ascii="微软雅黑" w:hAnsi="微软雅黑" w:eastAsia="微软雅黑" w:cs="微软雅黑"/>
          <w:i w:val="0"/>
          <w:iCs w:val="0"/>
          <w:caps w:val="0"/>
          <w:color w:val="auto"/>
          <w:spacing w:val="0"/>
          <w:sz w:val="19"/>
          <w:szCs w:val="19"/>
          <w:u w:val="single"/>
          <w:shd w:val="clear" w:fill="FFFFFF"/>
        </w:rPr>
        <w:t>　</w:t>
      </w:r>
      <w:r>
        <w:rPr>
          <w:rFonts w:hint="eastAsia" w:ascii="宋体" w:hAnsi="宋体" w:eastAsia="宋体" w:cs="宋体"/>
          <w:i w:val="0"/>
          <w:iCs w:val="0"/>
          <w:caps w:val="0"/>
          <w:color w:val="auto"/>
          <w:spacing w:val="0"/>
          <w:sz w:val="21"/>
          <w:szCs w:val="21"/>
          <w:shd w:val="clear" w:fill="FFFFFF"/>
        </w:rPr>
        <w:t>（即本项目的投标人）</w:t>
      </w:r>
    </w:p>
    <w:p>
      <w:pPr>
        <w:pStyle w:val="8"/>
        <w:keepNext w:val="0"/>
        <w:keepLines w:val="0"/>
        <w:widowControl/>
        <w:suppressLineNumbers w:val="0"/>
        <w:spacing w:before="76" w:beforeAutospacing="0" w:after="76" w:afterAutospacing="0" w:line="293" w:lineRule="atLeast"/>
        <w:ind w:left="-362" w:right="-362"/>
        <w:rPr>
          <w:color w:val="auto"/>
        </w:rPr>
      </w:pPr>
      <w:r>
        <w:rPr>
          <w:rFonts w:hint="eastAsia" w:ascii="宋体" w:hAnsi="宋体" w:eastAsia="宋体" w:cs="宋体"/>
          <w:i w:val="0"/>
          <w:iCs w:val="0"/>
          <w:caps w:val="0"/>
          <w:color w:val="auto"/>
          <w:spacing w:val="0"/>
          <w:sz w:val="21"/>
          <w:szCs w:val="21"/>
          <w:shd w:val="clear" w:fill="FFFFFF"/>
        </w:rPr>
        <w:t>乙方（分包方）：</w:t>
      </w:r>
      <w:r>
        <w:rPr>
          <w:rFonts w:hint="eastAsia" w:ascii="宋体" w:hAnsi="宋体" w:eastAsia="宋体" w:cs="宋体"/>
          <w:i w:val="0"/>
          <w:iCs w:val="0"/>
          <w:caps w:val="0"/>
          <w:color w:val="auto"/>
          <w:spacing w:val="0"/>
          <w:sz w:val="21"/>
          <w:szCs w:val="21"/>
          <w:u w:val="single"/>
          <w:shd w:val="clear" w:fill="FFFFFF"/>
        </w:rPr>
        <w:t>                     　　　　　　　    </w:t>
      </w:r>
    </w:p>
    <w:p>
      <w:pPr>
        <w:pStyle w:val="8"/>
        <w:keepNext w:val="0"/>
        <w:keepLines w:val="0"/>
        <w:widowControl/>
        <w:suppressLineNumbers w:val="0"/>
        <w:spacing w:before="76" w:beforeAutospacing="0" w:after="76" w:afterAutospacing="0" w:line="293" w:lineRule="atLeast"/>
        <w:ind w:left="-362" w:right="-362" w:firstLine="435"/>
        <w:rPr>
          <w:color w:val="auto"/>
        </w:rPr>
      </w:pPr>
      <w:r>
        <w:rPr>
          <w:rFonts w:hint="eastAsia" w:ascii="宋体" w:hAnsi="宋体" w:eastAsia="宋体" w:cs="宋体"/>
          <w:i w:val="0"/>
          <w:iCs w:val="0"/>
          <w:caps w:val="0"/>
          <w:color w:val="auto"/>
          <w:spacing w:val="0"/>
          <w:sz w:val="21"/>
          <w:szCs w:val="21"/>
          <w:shd w:val="clear" w:fill="FFFFFF"/>
        </w:rPr>
        <w:t>兹有甲方参加</w:t>
      </w:r>
      <w:r>
        <w:rPr>
          <w:rFonts w:hint="eastAsia" w:ascii="宋体" w:hAnsi="宋体" w:eastAsia="宋体" w:cs="宋体"/>
          <w:i w:val="0"/>
          <w:iCs w:val="0"/>
          <w:caps w:val="0"/>
          <w:color w:val="auto"/>
          <w:spacing w:val="0"/>
          <w:sz w:val="21"/>
          <w:szCs w:val="21"/>
          <w:u w:val="single"/>
          <w:shd w:val="clear" w:fill="FFFFFF"/>
        </w:rPr>
        <w:t>（填写“项目名称”） </w:t>
      </w:r>
      <w:r>
        <w:rPr>
          <w:rFonts w:hint="eastAsia" w:ascii="宋体" w:hAnsi="宋体" w:eastAsia="宋体" w:cs="宋体"/>
          <w:i w:val="0"/>
          <w:iCs w:val="0"/>
          <w:caps w:val="0"/>
          <w:color w:val="auto"/>
          <w:spacing w:val="0"/>
          <w:sz w:val="21"/>
          <w:szCs w:val="21"/>
          <w:shd w:val="clear" w:fill="FFFFFF"/>
        </w:rPr>
        <w:t>项目（项目编号：</w:t>
      </w:r>
      <w:r>
        <w:rPr>
          <w:rFonts w:hint="default" w:ascii="Calibri" w:hAnsi="Calibri" w:eastAsia="微软雅黑" w:cs="Calibri"/>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）的政府采购活动。甲方期望将采购项目的部分采购标的分包给乙方完成，而乙方保证能够向甲方提供本协议项下的采购标的，甲、乙双方就合同分包的有关事宜达成下列协议：</w:t>
      </w:r>
    </w:p>
    <w:p>
      <w:pPr>
        <w:pStyle w:val="8"/>
        <w:keepNext w:val="0"/>
        <w:keepLines w:val="0"/>
        <w:widowControl/>
        <w:suppressLineNumbers w:val="0"/>
        <w:spacing w:before="0" w:beforeAutospacing="0" w:after="0" w:afterAutospacing="0" w:line="293" w:lineRule="atLeast"/>
        <w:ind w:left="-362" w:right="-362" w:firstLine="480"/>
        <w:rPr>
          <w:color w:val="auto"/>
        </w:rPr>
      </w:pPr>
      <w:r>
        <w:rPr>
          <w:rStyle w:val="11"/>
          <w:rFonts w:hint="eastAsia" w:ascii="宋体" w:hAnsi="宋体" w:eastAsia="宋体" w:cs="宋体"/>
          <w:b/>
          <w:bCs/>
          <w:i w:val="0"/>
          <w:iCs w:val="0"/>
          <w:caps w:val="0"/>
          <w:color w:val="auto"/>
          <w:spacing w:val="0"/>
          <w:sz w:val="21"/>
          <w:szCs w:val="21"/>
          <w:shd w:val="clear" w:fill="FFFFFF"/>
        </w:rPr>
        <w:t>一、分包标的</w:t>
      </w:r>
    </w:p>
    <w:p>
      <w:pPr>
        <w:pStyle w:val="8"/>
        <w:keepNext w:val="0"/>
        <w:keepLines w:val="0"/>
        <w:widowControl/>
        <w:suppressLineNumbers w:val="0"/>
        <w:spacing w:before="0" w:beforeAutospacing="0" w:after="0" w:afterAutospacing="0" w:line="293" w:lineRule="atLeast"/>
        <w:ind w:left="-362" w:right="-362" w:firstLine="480"/>
        <w:rPr>
          <w:color w:val="auto"/>
        </w:rPr>
      </w:pPr>
      <w:r>
        <w:rPr>
          <w:rFonts w:hint="eastAsia" w:ascii="宋体" w:hAnsi="宋体" w:eastAsia="宋体" w:cs="宋体"/>
          <w:i w:val="0"/>
          <w:iCs w:val="0"/>
          <w:caps w:val="0"/>
          <w:color w:val="auto"/>
          <w:spacing w:val="0"/>
          <w:sz w:val="21"/>
          <w:szCs w:val="21"/>
          <w:u w:val="single"/>
          <w:shd w:val="clear" w:fill="FFFFFF"/>
        </w:rPr>
        <w:t>（根据双方的意向填写，可以是表格或文字描述）</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0" w:beforeAutospacing="0" w:after="0" w:afterAutospacing="0" w:line="293" w:lineRule="atLeast"/>
        <w:ind w:left="-362" w:right="-362" w:firstLine="480"/>
        <w:rPr>
          <w:color w:val="auto"/>
        </w:rPr>
      </w:pPr>
      <w:r>
        <w:rPr>
          <w:rStyle w:val="11"/>
          <w:rFonts w:hint="eastAsia" w:ascii="宋体" w:hAnsi="宋体" w:eastAsia="宋体" w:cs="宋体"/>
          <w:b/>
          <w:bCs/>
          <w:i w:val="0"/>
          <w:iCs w:val="0"/>
          <w:caps w:val="0"/>
          <w:color w:val="auto"/>
          <w:spacing w:val="0"/>
          <w:sz w:val="21"/>
          <w:szCs w:val="21"/>
          <w:shd w:val="clear" w:fill="FFFFFF"/>
        </w:rPr>
        <w:t>二、分包合同金额占比</w:t>
      </w:r>
    </w:p>
    <w:p>
      <w:pPr>
        <w:pStyle w:val="8"/>
        <w:keepNext w:val="0"/>
        <w:keepLines w:val="0"/>
        <w:widowControl/>
        <w:suppressLineNumbers w:val="0"/>
        <w:spacing w:before="0" w:beforeAutospacing="0" w:after="0" w:afterAutospacing="0" w:line="293" w:lineRule="atLeast"/>
        <w:ind w:left="-362" w:right="-362" w:firstLine="480"/>
        <w:rPr>
          <w:color w:val="auto"/>
        </w:rPr>
      </w:pPr>
      <w:r>
        <w:rPr>
          <w:rFonts w:hint="eastAsia" w:ascii="宋体" w:hAnsi="宋体" w:eastAsia="宋体" w:cs="宋体"/>
          <w:i w:val="0"/>
          <w:iCs w:val="0"/>
          <w:caps w:val="0"/>
          <w:color w:val="auto"/>
          <w:spacing w:val="0"/>
          <w:sz w:val="21"/>
          <w:szCs w:val="21"/>
          <w:shd w:val="clear" w:fill="FFFFFF"/>
        </w:rPr>
        <w:t>分包合同价占投标总价的比例：　　%</w:t>
      </w:r>
    </w:p>
    <w:p>
      <w:pPr>
        <w:pStyle w:val="8"/>
        <w:keepNext w:val="0"/>
        <w:keepLines w:val="0"/>
        <w:widowControl/>
        <w:suppressLineNumbers w:val="0"/>
        <w:spacing w:before="0" w:beforeAutospacing="0" w:after="0" w:afterAutospacing="0" w:line="293" w:lineRule="atLeast"/>
        <w:ind w:left="-362" w:right="-362" w:firstLine="480"/>
        <w:rPr>
          <w:color w:val="auto"/>
        </w:rPr>
      </w:pPr>
      <w:r>
        <w:rPr>
          <w:rStyle w:val="11"/>
          <w:rFonts w:hint="eastAsia" w:ascii="宋体" w:hAnsi="宋体" w:eastAsia="宋体" w:cs="宋体"/>
          <w:b/>
          <w:bCs/>
          <w:i w:val="0"/>
          <w:iCs w:val="0"/>
          <w:caps w:val="0"/>
          <w:color w:val="auto"/>
          <w:spacing w:val="0"/>
          <w:sz w:val="21"/>
          <w:szCs w:val="21"/>
          <w:shd w:val="clear" w:fill="FFFFFF"/>
        </w:rPr>
        <w:t>三、其他条款</w:t>
      </w:r>
    </w:p>
    <w:p>
      <w:pPr>
        <w:pStyle w:val="8"/>
        <w:keepNext w:val="0"/>
        <w:keepLines w:val="0"/>
        <w:widowControl/>
        <w:suppressLineNumbers w:val="0"/>
        <w:spacing w:before="0" w:beforeAutospacing="0" w:after="0" w:afterAutospacing="0" w:line="293" w:lineRule="atLeast"/>
        <w:ind w:left="-362" w:right="-362" w:firstLine="480"/>
        <w:rPr>
          <w:color w:val="auto"/>
        </w:rPr>
      </w:pPr>
      <w:r>
        <w:rPr>
          <w:rFonts w:hint="eastAsia" w:ascii="宋体" w:hAnsi="宋体" w:eastAsia="宋体" w:cs="宋体"/>
          <w:i w:val="0"/>
          <w:iCs w:val="0"/>
          <w:caps w:val="0"/>
          <w:color w:val="auto"/>
          <w:spacing w:val="0"/>
          <w:sz w:val="21"/>
          <w:szCs w:val="21"/>
          <w:shd w:val="clear" w:fill="FFFFFF"/>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8"/>
        <w:keepNext w:val="0"/>
        <w:keepLines w:val="0"/>
        <w:widowControl/>
        <w:suppressLineNumbers w:val="0"/>
        <w:spacing w:before="0" w:beforeAutospacing="0" w:after="0" w:afterAutospacing="0" w:line="293" w:lineRule="atLeast"/>
        <w:ind w:left="-362" w:right="-362" w:firstLine="480"/>
        <w:rPr>
          <w:color w:val="auto"/>
        </w:rPr>
      </w:pPr>
      <w:r>
        <w:rPr>
          <w:rFonts w:hint="eastAsia" w:ascii="宋体" w:hAnsi="宋体" w:eastAsia="宋体" w:cs="宋体"/>
          <w:i w:val="0"/>
          <w:iCs w:val="0"/>
          <w:caps w:val="0"/>
          <w:color w:val="auto"/>
          <w:spacing w:val="0"/>
          <w:sz w:val="21"/>
          <w:szCs w:val="21"/>
          <w:shd w:val="clear" w:fill="FFFFFF"/>
        </w:rPr>
        <w:t> </w:t>
      </w:r>
    </w:p>
    <w:tbl>
      <w:tblPr>
        <w:tblStyle w:val="9"/>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45"/>
        <w:gridCol w:w="406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甲方：</w:t>
            </w:r>
          </w:p>
        </w:tc>
        <w:tc>
          <w:tcPr>
            <w:tcW w:w="40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乙方：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住所：</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住所：</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单</w:t>
            </w:r>
            <w:r>
              <w:rPr>
                <w:rFonts w:hint="eastAsia" w:ascii="宋体" w:hAnsi="宋体" w:eastAsia="宋体" w:cs="宋体"/>
                <w:color w:val="auto"/>
                <w:spacing w:val="-15"/>
                <w:sz w:val="21"/>
                <w:szCs w:val="21"/>
              </w:rPr>
              <w:t>位负责人或委托代理人：</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单</w:t>
            </w:r>
            <w:r>
              <w:rPr>
                <w:rFonts w:hint="eastAsia" w:ascii="宋体" w:hAnsi="宋体" w:eastAsia="宋体" w:cs="宋体"/>
                <w:color w:val="auto"/>
                <w:spacing w:val="-15"/>
                <w:sz w:val="21"/>
                <w:szCs w:val="21"/>
              </w:rPr>
              <w:t>位负责人或委托代理人：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联系方法：</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联系方法：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开户银行：</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开户银行：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账号：</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账号：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31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150" w:beforeAutospacing="0" w:after="0" w:afterAutospacing="0"/>
              <w:ind w:left="3045" w:right="0"/>
              <w:rPr>
                <w:color w:val="auto"/>
              </w:rPr>
            </w:pPr>
            <w:r>
              <w:rPr>
                <w:rFonts w:hint="eastAsia" w:ascii="宋体" w:hAnsi="宋体" w:eastAsia="宋体" w:cs="宋体"/>
                <w:color w:val="auto"/>
                <w:sz w:val="21"/>
                <w:szCs w:val="21"/>
              </w:rPr>
              <w:t>签订地点：</w:t>
            </w:r>
            <w:r>
              <w:rPr>
                <w:rFonts w:hint="default" w:ascii="Calibri" w:hAnsi="Calibri" w:cs="Calibri"/>
                <w:color w:val="auto"/>
                <w:sz w:val="21"/>
                <w:szCs w:val="21"/>
                <w:u w:val="single"/>
              </w:rPr>
              <w:t>                </w:t>
            </w:r>
          </w:p>
          <w:p>
            <w:pPr>
              <w:pStyle w:val="8"/>
              <w:keepNext w:val="0"/>
              <w:keepLines w:val="0"/>
              <w:widowControl/>
              <w:suppressLineNumbers w:val="0"/>
              <w:spacing w:before="0" w:beforeAutospacing="0" w:after="0" w:afterAutospacing="0" w:line="293" w:lineRule="atLeast"/>
              <w:ind w:left="3045" w:right="0"/>
              <w:rPr>
                <w:color w:val="auto"/>
              </w:rPr>
            </w:pPr>
            <w:r>
              <w:rPr>
                <w:rFonts w:hint="eastAsia" w:ascii="宋体" w:hAnsi="宋体" w:eastAsia="宋体" w:cs="宋体"/>
                <w:color w:val="auto"/>
                <w:sz w:val="21"/>
                <w:szCs w:val="21"/>
              </w:rPr>
              <w:t>签订日期：</w:t>
            </w:r>
            <w:r>
              <w:rPr>
                <w:rFonts w:hint="default" w:ascii="Calibri" w:hAnsi="Calibri" w:cs="Calibri"/>
                <w:color w:val="auto"/>
                <w:sz w:val="21"/>
                <w:szCs w:val="21"/>
              </w:rPr>
              <w:t>    </w:t>
            </w:r>
            <w:r>
              <w:rPr>
                <w:rFonts w:hint="eastAsia" w:ascii="宋体" w:hAnsi="宋体" w:eastAsia="宋体" w:cs="宋体"/>
                <w:color w:val="auto"/>
                <w:sz w:val="21"/>
                <w:szCs w:val="21"/>
              </w:rPr>
              <w:t>年</w:t>
            </w:r>
            <w:r>
              <w:rPr>
                <w:rFonts w:hint="default" w:ascii="Calibri" w:hAnsi="Calibri" w:cs="Calibri"/>
                <w:color w:val="auto"/>
                <w:sz w:val="21"/>
                <w:szCs w:val="21"/>
              </w:rPr>
              <w:t>   </w:t>
            </w:r>
            <w:r>
              <w:rPr>
                <w:rFonts w:hint="eastAsia" w:ascii="宋体" w:hAnsi="宋体" w:eastAsia="宋体" w:cs="宋体"/>
                <w:color w:val="auto"/>
                <w:sz w:val="21"/>
                <w:szCs w:val="21"/>
              </w:rPr>
              <w:t>月</w:t>
            </w:r>
            <w:r>
              <w:rPr>
                <w:rFonts w:hint="default" w:ascii="Calibri" w:hAnsi="Calibri" w:cs="Calibri"/>
                <w:color w:val="auto"/>
                <w:sz w:val="21"/>
                <w:szCs w:val="21"/>
              </w:rPr>
              <w:t>   </w:t>
            </w:r>
            <w:r>
              <w:rPr>
                <w:rFonts w:hint="eastAsia" w:ascii="宋体" w:hAnsi="宋体" w:eastAsia="宋体" w:cs="宋体"/>
                <w:color w:val="auto"/>
                <w:sz w:val="21"/>
                <w:szCs w:val="21"/>
              </w:rPr>
              <w:t>日</w:t>
            </w:r>
          </w:p>
        </w:tc>
      </w:tr>
    </w:tbl>
    <w:p>
      <w:pPr>
        <w:pStyle w:val="8"/>
        <w:keepNext w:val="0"/>
        <w:keepLines w:val="0"/>
        <w:widowControl/>
        <w:suppressLineNumbers w:val="0"/>
        <w:spacing w:before="76" w:beforeAutospacing="0" w:after="76"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line="293" w:lineRule="atLeast"/>
        <w:ind w:left="-362" w:right="-362" w:firstLine="435"/>
        <w:rPr>
          <w:color w:val="auto"/>
        </w:rPr>
      </w:pPr>
      <w:r>
        <w:rPr>
          <w:rStyle w:val="11"/>
          <w:rFonts w:hint="eastAsia" w:ascii="宋体" w:hAnsi="宋体" w:eastAsia="宋体" w:cs="宋体"/>
          <w:b/>
          <w:bCs/>
          <w:i w:val="0"/>
          <w:iCs w:val="0"/>
          <w:caps w:val="0"/>
          <w:color w:val="auto"/>
          <w:spacing w:val="0"/>
          <w:sz w:val="21"/>
          <w:szCs w:val="21"/>
          <w:shd w:val="clear" w:fill="FFFFFF"/>
        </w:rPr>
        <w:t>1.招标文件接受合同分包且投标人拟将合同分包的，应提供本协议；否则无须提供。</w:t>
      </w:r>
    </w:p>
    <w:p>
      <w:pPr>
        <w:pStyle w:val="8"/>
        <w:keepNext w:val="0"/>
        <w:keepLines w:val="0"/>
        <w:widowControl/>
        <w:suppressLineNumbers w:val="0"/>
        <w:spacing w:before="0" w:beforeAutospacing="0" w:after="150" w:afterAutospacing="0" w:line="293" w:lineRule="atLeast"/>
        <w:ind w:left="-362" w:right="-362" w:firstLine="435"/>
        <w:rPr>
          <w:color w:val="auto"/>
        </w:rPr>
      </w:pPr>
      <w:r>
        <w:rPr>
          <w:rStyle w:val="11"/>
          <w:rFonts w:hint="eastAsia" w:ascii="宋体" w:hAnsi="宋体" w:eastAsia="宋体" w:cs="宋体"/>
          <w:b/>
          <w:bCs/>
          <w:i w:val="0"/>
          <w:iCs w:val="0"/>
          <w:caps w:val="0"/>
          <w:color w:val="auto"/>
          <w:spacing w:val="0"/>
          <w:sz w:val="21"/>
          <w:szCs w:val="21"/>
          <w:shd w:val="clear" w:fill="FFFFFF"/>
        </w:rPr>
        <w:t>2.本协议由委托代理人签字或盖章的，应按照本章载明的格式提供“单位授权书”。</w:t>
      </w:r>
    </w:p>
    <w:p>
      <w:pPr>
        <w:pStyle w:val="8"/>
        <w:keepNext w:val="0"/>
        <w:keepLines w:val="0"/>
        <w:widowControl/>
        <w:suppressLineNumbers w:val="0"/>
        <w:spacing w:before="0" w:beforeAutospacing="0" w:after="150" w:afterAutospacing="0" w:line="293" w:lineRule="atLeast"/>
        <w:ind w:left="-362" w:right="-362" w:firstLine="435"/>
        <w:rPr>
          <w:color w:val="auto"/>
        </w:rPr>
      </w:pPr>
      <w:r>
        <w:rPr>
          <w:rStyle w:val="11"/>
          <w:rFonts w:hint="eastAsia" w:ascii="宋体" w:hAnsi="宋体" w:eastAsia="宋体" w:cs="宋体"/>
          <w:b/>
          <w:bCs/>
          <w:i w:val="0"/>
          <w:iCs w:val="0"/>
          <w:caps w:val="0"/>
          <w:color w:val="auto"/>
          <w:spacing w:val="0"/>
          <w:sz w:val="21"/>
          <w:szCs w:val="21"/>
          <w:shd w:val="clear" w:fill="FFFFFF"/>
        </w:rPr>
        <w:t>3.在以合同分包形式落实中小企业预留份额项目中，投标人除了要提供《中小企业声明函》，还需提供本协议。 </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0" w:beforeAutospacing="0" w:after="240" w:afterAutospacing="0"/>
        <w:ind w:left="-362" w:right="-362"/>
        <w:rPr>
          <w:color w:val="auto"/>
        </w:rPr>
      </w:pP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二-12其他资格证明文件（若有）</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二</w:t>
      </w:r>
      <w:r>
        <w:rPr>
          <w:rStyle w:val="11"/>
          <w:rFonts w:hint="eastAsia" w:ascii="宋体" w:hAnsi="宋体" w:eastAsia="宋体" w:cs="宋体"/>
          <w:b/>
          <w:bCs/>
          <w:i w:val="0"/>
          <w:iCs w:val="0"/>
          <w:caps w:val="0"/>
          <w:color w:val="auto"/>
          <w:spacing w:val="0"/>
          <w:sz w:val="21"/>
          <w:szCs w:val="21"/>
          <w:shd w:val="clear" w:fill="FFFFFF"/>
        </w:rPr>
        <w:t>-12-①具备履行合同所必需设备和专业技术能力专项证明材料（若有）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（采购人或采购代理机构）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现附上我方具备履行合同所必需的设备和专业技术能力的专项证明材料复印件（具体附后），上述证明材料真实有效，否则我方负全部责任。</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1、招标文件要求投标人提供“具备履行合同所必需的设备和专业技术能力专项证明材料”的，投标人应按照招标文件规定在此项下提供相应证明材料复印件。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2、投标人提供的相应证明材料复印件均应符合：内容完整、清晰、整洁，并由投标人加盖其单位公章。</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24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二-12-②招标文件规定的其他资格证明文件（若有）</w:t>
      </w:r>
    </w:p>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除招标文件另有规定外，招标文件要求提交的除前述资格证明文件外的其他资格证明文件（若有）加盖投标人的单位公章后应在此项下提交。</w:t>
      </w:r>
    </w:p>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三</w:t>
      </w:r>
      <w:r>
        <w:rPr>
          <w:rStyle w:val="11"/>
          <w:rFonts w:hint="eastAsia" w:ascii="宋体" w:hAnsi="宋体" w:eastAsia="宋体" w:cs="宋体"/>
          <w:b/>
          <w:bCs/>
          <w:i w:val="0"/>
          <w:iCs w:val="0"/>
          <w:caps w:val="0"/>
          <w:color w:val="auto"/>
          <w:spacing w:val="0"/>
          <w:sz w:val="21"/>
          <w:szCs w:val="21"/>
          <w:shd w:val="clear" w:fill="FFFFFF"/>
        </w:rPr>
        <w:t>、投标保证金</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1、在此项下提交的</w:t>
      </w:r>
      <w:r>
        <w:rPr>
          <w:rStyle w:val="11"/>
          <w:rFonts w:hint="eastAsia" w:ascii="宋体" w:hAnsi="宋体" w:eastAsia="宋体" w:cs="宋体"/>
          <w:b/>
          <w:bCs/>
          <w:i w:val="0"/>
          <w:iCs w:val="0"/>
          <w:caps w:val="0"/>
          <w:color w:val="auto"/>
          <w:spacing w:val="0"/>
          <w:sz w:val="21"/>
          <w:szCs w:val="21"/>
          <w:shd w:val="clear" w:fill="FFFFFF"/>
        </w:rPr>
        <w:t>“投标保证金”</w:t>
      </w:r>
      <w:r>
        <w:rPr>
          <w:rFonts w:hint="eastAsia" w:ascii="宋体" w:hAnsi="宋体" w:eastAsia="宋体" w:cs="宋体"/>
          <w:i w:val="0"/>
          <w:iCs w:val="0"/>
          <w:caps w:val="0"/>
          <w:color w:val="auto"/>
          <w:spacing w:val="0"/>
          <w:sz w:val="21"/>
          <w:szCs w:val="21"/>
          <w:shd w:val="clear" w:fill="FFFFFF"/>
        </w:rPr>
        <w:t>材料可使用转账凭证复印件或从福建省政府采购网上公开信息系统中下载的有关原始页面的打印件。</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2、投标保证金是否已提交的认定按照招标文件第三章规定执行。</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8"/>
          <w:szCs w:val="28"/>
          <w:shd w:val="clear" w:fill="FFFFFF"/>
        </w:rPr>
        <w:t>封面格式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48"/>
          <w:szCs w:val="48"/>
          <w:shd w:val="clear" w:fill="FFFFFF"/>
        </w:rPr>
        <w:t>福建省政府采购投标文件</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48"/>
          <w:szCs w:val="48"/>
          <w:shd w:val="clear" w:fill="FFFFFF"/>
        </w:rPr>
        <w:t>（报价部分）</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36"/>
          <w:szCs w:val="36"/>
          <w:u w:val="single"/>
          <w:shd w:val="clear" w:fill="FFFFFF"/>
        </w:rPr>
        <w:t>（填写正本或副本）</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项目名称：</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备案编号：</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项目编号：</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所投采购包：</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31"/>
          <w:szCs w:val="31"/>
          <w:shd w:val="clear" w:fill="FFFFFF"/>
        </w:rPr>
        <w:t>投标人：</w:t>
      </w:r>
      <w:r>
        <w:rPr>
          <w:rStyle w:val="11"/>
          <w:rFonts w:hint="eastAsia" w:ascii="宋体" w:hAnsi="宋体" w:eastAsia="宋体" w:cs="宋体"/>
          <w:b/>
          <w:bCs/>
          <w:i w:val="0"/>
          <w:iCs w:val="0"/>
          <w:caps w:val="0"/>
          <w:color w:val="auto"/>
          <w:spacing w:val="0"/>
          <w:sz w:val="31"/>
          <w:szCs w:val="31"/>
          <w:u w:val="single"/>
          <w:shd w:val="clear" w:fill="FFFFFF"/>
        </w:rPr>
        <w:t>（填写“全称”）</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31"/>
          <w:szCs w:val="31"/>
          <w:u w:val="single"/>
          <w:shd w:val="clear" w:fill="FFFFFF"/>
        </w:rPr>
        <w:t>（由投标人填写）</w:t>
      </w:r>
      <w:r>
        <w:rPr>
          <w:rStyle w:val="11"/>
          <w:rFonts w:hint="eastAsia" w:ascii="宋体" w:hAnsi="宋体" w:eastAsia="宋体" w:cs="宋体"/>
          <w:b/>
          <w:bCs/>
          <w:i w:val="0"/>
          <w:iCs w:val="0"/>
          <w:caps w:val="0"/>
          <w:color w:val="auto"/>
          <w:spacing w:val="0"/>
          <w:sz w:val="31"/>
          <w:szCs w:val="31"/>
          <w:shd w:val="clear" w:fill="FFFFFF"/>
        </w:rPr>
        <w:t>年</w:t>
      </w:r>
      <w:r>
        <w:rPr>
          <w:rStyle w:val="11"/>
          <w:rFonts w:hint="eastAsia" w:ascii="宋体" w:hAnsi="宋体" w:eastAsia="宋体" w:cs="宋体"/>
          <w:b/>
          <w:bCs/>
          <w:i w:val="0"/>
          <w:iCs w:val="0"/>
          <w:caps w:val="0"/>
          <w:color w:val="auto"/>
          <w:spacing w:val="0"/>
          <w:sz w:val="31"/>
          <w:szCs w:val="31"/>
          <w:u w:val="single"/>
          <w:shd w:val="clear" w:fill="FFFFFF"/>
        </w:rPr>
        <w:t>（由投标人填写）</w:t>
      </w:r>
      <w:r>
        <w:rPr>
          <w:rStyle w:val="11"/>
          <w:rFonts w:hint="eastAsia" w:ascii="宋体" w:hAnsi="宋体" w:eastAsia="宋体" w:cs="宋体"/>
          <w:b/>
          <w:bCs/>
          <w:i w:val="0"/>
          <w:iCs w:val="0"/>
          <w:caps w:val="0"/>
          <w:color w:val="auto"/>
          <w:spacing w:val="0"/>
          <w:sz w:val="31"/>
          <w:szCs w:val="31"/>
          <w:shd w:val="clear" w:fill="FFFFFF"/>
        </w:rPr>
        <w:t>月</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8"/>
          <w:szCs w:val="28"/>
          <w:shd w:val="clear" w:fill="FFFFFF"/>
        </w:rPr>
        <w:t>索引</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一、开标一览表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二、投标分项报价表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三、招标文件规定的价格扣除证明材料（若有）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四、招标文件规定的加分证明材料（若有）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一、开标一览表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项目编号：</w:t>
      </w:r>
      <w:r>
        <w:rPr>
          <w:rFonts w:hint="eastAsia" w:ascii="宋体" w:hAnsi="宋体" w:eastAsia="宋体" w:cs="宋体"/>
          <w:i w:val="0"/>
          <w:iCs w:val="0"/>
          <w:caps w:val="0"/>
          <w:color w:val="auto"/>
          <w:spacing w:val="0"/>
          <w:sz w:val="21"/>
          <w:szCs w:val="21"/>
          <w:u w:val="single"/>
          <w:shd w:val="clear" w:fill="FFFFFF"/>
        </w:rPr>
        <w:t>                   </w:t>
      </w:r>
    </w:p>
    <w:p>
      <w:pPr>
        <w:pStyle w:val="8"/>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iCs w:val="0"/>
          <w:caps w:val="0"/>
          <w:color w:val="auto"/>
          <w:spacing w:val="0"/>
          <w:sz w:val="21"/>
          <w:szCs w:val="21"/>
          <w:shd w:val="clear" w:fill="FFFFFF"/>
        </w:rPr>
        <w:t>货币及单位：人民币元</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380"/>
        <w:gridCol w:w="4599"/>
        <w:gridCol w:w="975"/>
        <w:gridCol w:w="156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459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投标报价</w:t>
            </w:r>
          </w:p>
        </w:tc>
        <w:tc>
          <w:tcPr>
            <w:tcW w:w="9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w:t>
            </w:r>
          </w:p>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保证金</w:t>
            </w:r>
          </w:p>
        </w:tc>
        <w:tc>
          <w:tcPr>
            <w:tcW w:w="156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459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566"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a.投标报价的明细：详见《投标分项报价表》。</w:t>
            </w:r>
          </w:p>
          <w:p>
            <w:pPr>
              <w:pStyle w:val="8"/>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459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56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1、本表应按照下列规定填写：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1.1投标人应按照本表格式填写所投的采购包的“投标报价”。</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1.2本表中列示的“采购包”应与《投标分项报价表》中列示的“采购包”保持一致，即：若本表中列示的“采购包”为“</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”时，《投标分项报价表》中列示的“采购包”亦应为“</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”，以此类推。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1.3“大写金额”指“投标报价”应用“壹、贰、叁、肆、伍、陆、柒、捌、玖、拾、佰、仟、万、亿、元、角、分、零”等进行填写。</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default" w:ascii="Calibri" w:hAnsi="Calibri" w:eastAsia="微软雅黑" w:cs="Calibri"/>
          <w:b/>
          <w:bCs/>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二、投标分项报价表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项目编号：</w:t>
      </w:r>
      <w:r>
        <w:rPr>
          <w:rFonts w:hint="eastAsia" w:ascii="宋体" w:hAnsi="宋体" w:eastAsia="宋体" w:cs="宋体"/>
          <w:i w:val="0"/>
          <w:iCs w:val="0"/>
          <w:caps w:val="0"/>
          <w:color w:val="auto"/>
          <w:spacing w:val="0"/>
          <w:sz w:val="21"/>
          <w:szCs w:val="21"/>
          <w:u w:val="single"/>
          <w:shd w:val="clear" w:fill="FFFFFF"/>
        </w:rPr>
        <w:t>                   </w:t>
      </w:r>
    </w:p>
    <w:p>
      <w:pPr>
        <w:pStyle w:val="8"/>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iCs w:val="0"/>
          <w:caps w:val="0"/>
          <w:color w:val="auto"/>
          <w:spacing w:val="0"/>
          <w:sz w:val="21"/>
          <w:szCs w:val="21"/>
          <w:shd w:val="clear" w:fill="FFFFFF"/>
        </w:rPr>
        <w:t>货币及单位：人民币元</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1、本表应按照下列规定填写：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”时，本表中列示的“采购包”亦应为“</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”，以此类推。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1.2“投标标的”为货物的：</w:t>
      </w:r>
      <w:r>
        <w:rPr>
          <w:rStyle w:val="11"/>
          <w:rFonts w:hint="eastAsia" w:ascii="宋体" w:hAnsi="宋体" w:eastAsia="宋体" w:cs="宋体"/>
          <w:b/>
          <w:bCs/>
          <w:i w:val="0"/>
          <w:iCs w:val="0"/>
          <w:caps w:val="0"/>
          <w:color w:val="auto"/>
          <w:spacing w:val="0"/>
          <w:sz w:val="21"/>
          <w:szCs w:val="21"/>
          <w:shd w:val="clear" w:fill="FFFFFF"/>
        </w:rPr>
        <w:t>“规格”</w:t>
      </w:r>
      <w:r>
        <w:rPr>
          <w:rFonts w:hint="eastAsia" w:ascii="宋体" w:hAnsi="宋体" w:eastAsia="宋体" w:cs="宋体"/>
          <w:i w:val="0"/>
          <w:iCs w:val="0"/>
          <w:caps w:val="0"/>
          <w:color w:val="auto"/>
          <w:spacing w:val="0"/>
          <w:sz w:val="21"/>
          <w:szCs w:val="21"/>
          <w:shd w:val="clear" w:fill="FFFFFF"/>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b/>
          <w:bCs/>
          <w:i w:val="0"/>
          <w:iCs w:val="0"/>
          <w:caps w:val="0"/>
          <w:color w:val="auto"/>
          <w:spacing w:val="0"/>
          <w:sz w:val="21"/>
          <w:szCs w:val="21"/>
          <w:shd w:val="clear" w:fill="FFFFFF"/>
        </w:rPr>
        <w:t>“来源地”</w:t>
      </w:r>
      <w:r>
        <w:rPr>
          <w:rFonts w:hint="eastAsia" w:ascii="宋体" w:hAnsi="宋体" w:eastAsia="宋体" w:cs="宋体"/>
          <w:i w:val="0"/>
          <w:iCs w:val="0"/>
          <w:caps w:val="0"/>
          <w:color w:val="auto"/>
          <w:spacing w:val="0"/>
          <w:sz w:val="21"/>
          <w:szCs w:val="21"/>
          <w:shd w:val="clear" w:fill="FFFFFF"/>
        </w:rPr>
        <w:t>应填写货物的原产地。</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1.3“投标标的”为服务的：</w:t>
      </w:r>
      <w:r>
        <w:rPr>
          <w:rStyle w:val="11"/>
          <w:rFonts w:hint="eastAsia" w:ascii="宋体" w:hAnsi="宋体" w:eastAsia="宋体" w:cs="宋体"/>
          <w:b/>
          <w:bCs/>
          <w:i w:val="0"/>
          <w:iCs w:val="0"/>
          <w:caps w:val="0"/>
          <w:color w:val="auto"/>
          <w:spacing w:val="0"/>
          <w:sz w:val="21"/>
          <w:szCs w:val="21"/>
          <w:shd w:val="clear" w:fill="FFFFFF"/>
        </w:rPr>
        <w:t>“规格”</w:t>
      </w:r>
      <w:r>
        <w:rPr>
          <w:rFonts w:hint="eastAsia" w:ascii="宋体" w:hAnsi="宋体" w:eastAsia="宋体" w:cs="宋体"/>
          <w:i w:val="0"/>
          <w:iCs w:val="0"/>
          <w:caps w:val="0"/>
          <w:color w:val="auto"/>
          <w:spacing w:val="0"/>
          <w:sz w:val="21"/>
          <w:szCs w:val="21"/>
          <w:shd w:val="clear" w:fill="FFFFFF"/>
        </w:rPr>
        <w:t>项下应填写服务提供者提供的服务标准及品牌（若有）。</w:t>
      </w:r>
      <w:r>
        <w:rPr>
          <w:rStyle w:val="11"/>
          <w:rFonts w:hint="eastAsia" w:ascii="宋体" w:hAnsi="宋体" w:eastAsia="宋体" w:cs="宋体"/>
          <w:b/>
          <w:bCs/>
          <w:i w:val="0"/>
          <w:iCs w:val="0"/>
          <w:caps w:val="0"/>
          <w:color w:val="auto"/>
          <w:spacing w:val="0"/>
          <w:sz w:val="21"/>
          <w:szCs w:val="21"/>
          <w:shd w:val="clear" w:fill="FFFFFF"/>
        </w:rPr>
        <w:t>“来源地”</w:t>
      </w:r>
      <w:r>
        <w:rPr>
          <w:rFonts w:hint="eastAsia" w:ascii="宋体" w:hAnsi="宋体" w:eastAsia="宋体" w:cs="宋体"/>
          <w:i w:val="0"/>
          <w:iCs w:val="0"/>
          <w:caps w:val="0"/>
          <w:color w:val="auto"/>
          <w:spacing w:val="0"/>
          <w:sz w:val="21"/>
          <w:szCs w:val="21"/>
          <w:shd w:val="clear" w:fill="FFFFFF"/>
        </w:rPr>
        <w:t>应填写服务提供者的所在地。</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1.4同一采购包中，</w:t>
      </w:r>
      <w:r>
        <w:rPr>
          <w:rStyle w:val="11"/>
          <w:rFonts w:hint="eastAsia" w:ascii="宋体" w:hAnsi="宋体" w:eastAsia="宋体" w:cs="宋体"/>
          <w:b/>
          <w:bCs/>
          <w:i w:val="0"/>
          <w:iCs w:val="0"/>
          <w:caps w:val="0"/>
          <w:color w:val="auto"/>
          <w:spacing w:val="0"/>
          <w:sz w:val="21"/>
          <w:szCs w:val="21"/>
          <w:shd w:val="clear" w:fill="FFFFFF"/>
        </w:rPr>
        <w:t>“单价（现场）”</w:t>
      </w:r>
      <w:r>
        <w:rPr>
          <w:rFonts w:hint="eastAsia" w:ascii="宋体" w:hAnsi="宋体" w:eastAsia="宋体" w:cs="宋体"/>
          <w:i w:val="0"/>
          <w:iCs w:val="0"/>
          <w:caps w:val="0"/>
          <w:color w:val="auto"/>
          <w:spacing w:val="0"/>
          <w:sz w:val="21"/>
          <w:szCs w:val="21"/>
          <w:shd w:val="clear" w:fill="FFFFFF"/>
        </w:rPr>
        <w:t>×</w:t>
      </w:r>
      <w:r>
        <w:rPr>
          <w:rStyle w:val="11"/>
          <w:rFonts w:hint="eastAsia" w:ascii="宋体" w:hAnsi="宋体" w:eastAsia="宋体" w:cs="宋体"/>
          <w:b/>
          <w:bCs/>
          <w:i w:val="0"/>
          <w:iCs w:val="0"/>
          <w:caps w:val="0"/>
          <w:color w:val="auto"/>
          <w:spacing w:val="0"/>
          <w:sz w:val="21"/>
          <w:szCs w:val="21"/>
          <w:shd w:val="clear" w:fill="FFFFFF"/>
        </w:rPr>
        <w:t>“数量”</w:t>
      </w:r>
      <w:r>
        <w:rPr>
          <w:rFonts w:hint="eastAsia" w:ascii="宋体" w:hAnsi="宋体" w:eastAsia="宋体" w:cs="宋体"/>
          <w:i w:val="0"/>
          <w:iCs w:val="0"/>
          <w:caps w:val="0"/>
          <w:color w:val="auto"/>
          <w:spacing w:val="0"/>
          <w:sz w:val="21"/>
          <w:szCs w:val="21"/>
          <w:shd w:val="clear" w:fill="FFFFFF"/>
        </w:rPr>
        <w:t>=</w:t>
      </w:r>
      <w:r>
        <w:rPr>
          <w:rStyle w:val="11"/>
          <w:rFonts w:hint="eastAsia" w:ascii="宋体" w:hAnsi="宋体" w:eastAsia="宋体" w:cs="宋体"/>
          <w:b/>
          <w:bCs/>
          <w:i w:val="0"/>
          <w:iCs w:val="0"/>
          <w:caps w:val="0"/>
          <w:color w:val="auto"/>
          <w:spacing w:val="0"/>
          <w:sz w:val="21"/>
          <w:szCs w:val="21"/>
          <w:shd w:val="clear" w:fill="FFFFFF"/>
        </w:rPr>
        <w:t>“总价（现场）”</w:t>
      </w:r>
      <w:r>
        <w:rPr>
          <w:rFonts w:hint="eastAsia" w:ascii="宋体" w:hAnsi="宋体" w:eastAsia="宋体" w:cs="宋体"/>
          <w:i w:val="0"/>
          <w:iCs w:val="0"/>
          <w:caps w:val="0"/>
          <w:color w:val="auto"/>
          <w:spacing w:val="0"/>
          <w:sz w:val="21"/>
          <w:szCs w:val="21"/>
          <w:shd w:val="clear" w:fill="FFFFFF"/>
        </w:rPr>
        <w:t>，全部品目号</w:t>
      </w:r>
      <w:r>
        <w:rPr>
          <w:rStyle w:val="11"/>
          <w:rFonts w:hint="eastAsia" w:ascii="宋体" w:hAnsi="宋体" w:eastAsia="宋体" w:cs="宋体"/>
          <w:b/>
          <w:bCs/>
          <w:i w:val="0"/>
          <w:iCs w:val="0"/>
          <w:caps w:val="0"/>
          <w:color w:val="auto"/>
          <w:spacing w:val="0"/>
          <w:sz w:val="21"/>
          <w:szCs w:val="21"/>
          <w:shd w:val="clear" w:fill="FFFFFF"/>
        </w:rPr>
        <w:t>“总价（现场）”</w:t>
      </w:r>
      <w:r>
        <w:rPr>
          <w:rFonts w:hint="eastAsia" w:ascii="宋体" w:hAnsi="宋体" w:eastAsia="宋体" w:cs="宋体"/>
          <w:i w:val="0"/>
          <w:iCs w:val="0"/>
          <w:caps w:val="0"/>
          <w:color w:val="auto"/>
          <w:spacing w:val="0"/>
          <w:sz w:val="21"/>
          <w:szCs w:val="21"/>
          <w:shd w:val="clear" w:fill="FFFFFF"/>
        </w:rPr>
        <w:t>的合计金额应与《开标一览表》中相应采购包列示的</w:t>
      </w:r>
      <w:r>
        <w:rPr>
          <w:rStyle w:val="11"/>
          <w:rFonts w:hint="eastAsia" w:ascii="宋体" w:hAnsi="宋体" w:eastAsia="宋体" w:cs="宋体"/>
          <w:b/>
          <w:bCs/>
          <w:i w:val="0"/>
          <w:iCs w:val="0"/>
          <w:caps w:val="0"/>
          <w:color w:val="auto"/>
          <w:spacing w:val="0"/>
          <w:sz w:val="21"/>
          <w:szCs w:val="21"/>
          <w:shd w:val="clear" w:fill="FFFFFF"/>
        </w:rPr>
        <w:t>“投标总价”</w:t>
      </w:r>
      <w:r>
        <w:rPr>
          <w:rFonts w:hint="eastAsia" w:ascii="宋体" w:hAnsi="宋体" w:eastAsia="宋体" w:cs="宋体"/>
          <w:i w:val="0"/>
          <w:iCs w:val="0"/>
          <w:caps w:val="0"/>
          <w:color w:val="auto"/>
          <w:spacing w:val="0"/>
          <w:sz w:val="21"/>
          <w:szCs w:val="21"/>
          <w:shd w:val="clear" w:fill="FFFFFF"/>
        </w:rPr>
        <w:t>保持一致。</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1.5若招标文件要求投标人对“备品备件价格、专用工具价格、技术服务费、安装调试费、检验培训费、运输费、保险费、税收”等进行报价的，请在本表的</w:t>
      </w:r>
      <w:r>
        <w:rPr>
          <w:rStyle w:val="11"/>
          <w:rFonts w:hint="eastAsia" w:ascii="宋体" w:hAnsi="宋体" w:eastAsia="宋体" w:cs="宋体"/>
          <w:b/>
          <w:bCs/>
          <w:i w:val="0"/>
          <w:iCs w:val="0"/>
          <w:caps w:val="0"/>
          <w:color w:val="auto"/>
          <w:spacing w:val="0"/>
          <w:sz w:val="21"/>
          <w:szCs w:val="21"/>
          <w:shd w:val="clear" w:fill="FFFFFF"/>
        </w:rPr>
        <w:t>“备注”</w:t>
      </w:r>
      <w:r>
        <w:rPr>
          <w:rFonts w:hint="eastAsia" w:ascii="宋体" w:hAnsi="宋体" w:eastAsia="宋体" w:cs="宋体"/>
          <w:i w:val="0"/>
          <w:iCs w:val="0"/>
          <w:caps w:val="0"/>
          <w:color w:val="auto"/>
          <w:spacing w:val="0"/>
          <w:sz w:val="21"/>
          <w:szCs w:val="21"/>
          <w:shd w:val="clear" w:fill="FFFFFF"/>
        </w:rPr>
        <w:t>项下填写。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24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r>
        <w:rPr>
          <w:rFonts w:hint="eastAsia" w:ascii="宋体" w:hAnsi="宋体" w:eastAsia="宋体" w:cs="宋体"/>
          <w:i w:val="0"/>
          <w:iCs w:val="0"/>
          <w:caps w:val="0"/>
          <w:color w:val="auto"/>
          <w:spacing w:val="0"/>
          <w:sz w:val="21"/>
          <w:szCs w:val="21"/>
          <w:shd w:val="clear" w:fill="FFFFFF"/>
        </w:rPr>
        <w:br w:type="textWrapping"/>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三、招标文件规定的价格扣除证明材料（若有）</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三-1优先类节能产品、环境标志产品价格扣除证明材料（若有）</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三-1-①优先类节能产品、环境标志产品统计表（价格扣除适用，若有）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项目编号：</w:t>
      </w:r>
      <w:r>
        <w:rPr>
          <w:rFonts w:hint="eastAsia" w:ascii="宋体" w:hAnsi="宋体" w:eastAsia="宋体" w:cs="宋体"/>
          <w:i w:val="0"/>
          <w:iCs w:val="0"/>
          <w:caps w:val="0"/>
          <w:color w:val="auto"/>
          <w:spacing w:val="0"/>
          <w:sz w:val="21"/>
          <w:szCs w:val="21"/>
          <w:u w:val="single"/>
          <w:shd w:val="clear" w:fill="FFFFFF"/>
        </w:rPr>
        <w:t>                   </w:t>
      </w:r>
    </w:p>
    <w:p>
      <w:pPr>
        <w:pStyle w:val="8"/>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iCs w:val="0"/>
          <w:caps w:val="0"/>
          <w:color w:val="auto"/>
          <w:spacing w:val="0"/>
          <w:sz w:val="21"/>
          <w:szCs w:val="21"/>
          <w:shd w:val="clear" w:fill="FFFFFF"/>
        </w:rPr>
        <w:t>货币及单位：人民币元</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a.采购包内属于节能、环境标志产品的报价总金额：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8"/>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b.采购包投标总价（报价总金额）：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8"/>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c.“采购包内属于节能、环境标志产品的报价总金额”占“采购包投标总价（报价总金额）”的比例（以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1、对节能、环境标志产品计算价格扣除时，只依据投标文件</w:t>
      </w:r>
      <w:r>
        <w:rPr>
          <w:rStyle w:val="11"/>
          <w:rFonts w:hint="eastAsia" w:ascii="宋体" w:hAnsi="宋体" w:eastAsia="宋体" w:cs="宋体"/>
          <w:b/>
          <w:bCs/>
          <w:i w:val="0"/>
          <w:iCs w:val="0"/>
          <w:caps w:val="0"/>
          <w:color w:val="auto"/>
          <w:spacing w:val="0"/>
          <w:sz w:val="21"/>
          <w:szCs w:val="21"/>
          <w:shd w:val="clear" w:fill="FFFFFF"/>
        </w:rPr>
        <w:t>“三</w:t>
      </w:r>
      <w:r>
        <w:rPr>
          <w:rStyle w:val="11"/>
          <w:rFonts w:hint="default" w:ascii="Calibri" w:hAnsi="Calibri" w:eastAsia="宋体" w:cs="Calibri"/>
          <w:b/>
          <w:bCs/>
          <w:i w:val="0"/>
          <w:iCs w:val="0"/>
          <w:caps w:val="0"/>
          <w:color w:val="auto"/>
          <w:spacing w:val="0"/>
          <w:sz w:val="21"/>
          <w:szCs w:val="21"/>
          <w:shd w:val="clear" w:fill="FFFFFF"/>
        </w:rPr>
        <w:t>-1-</w:t>
      </w:r>
      <w:r>
        <w:rPr>
          <w:rStyle w:val="11"/>
          <w:rFonts w:hint="eastAsia" w:ascii="宋体" w:hAnsi="宋体" w:eastAsia="宋体" w:cs="宋体"/>
          <w:b/>
          <w:bCs/>
          <w:i w:val="0"/>
          <w:iCs w:val="0"/>
          <w:caps w:val="0"/>
          <w:color w:val="auto"/>
          <w:spacing w:val="0"/>
          <w:sz w:val="21"/>
          <w:szCs w:val="21"/>
          <w:shd w:val="clear" w:fill="FFFFFF"/>
        </w:rPr>
        <w:t>②优先类节能产品、环境标志产品证明材料（价格扣除适用，若有）”。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2、本表以采购包为单位，不同采购包请分别填写；同一采购包请按照其品目号顺序分别填写。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3、具体统计、计算：</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3.1若节能、环境标志产品仅是构成投标产品的部件、组件或零件，则该投标产品不享受鼓励优惠政策。同一品目中各认证证书不重复计算价格扣除。强制类节能产品不享受价格扣除。</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3.2计算结果若除不尽，可四舍五入保留到小数点后两位。</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3.3投标人应按照招标文件要求认真统计、计算，否则评标委员会不予认定。</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3.4若无节能、环境标志产品，不填写本表，否则，</w:t>
      </w:r>
      <w:r>
        <w:rPr>
          <w:rStyle w:val="11"/>
          <w:rFonts w:hint="eastAsia" w:ascii="宋体" w:hAnsi="宋体" w:eastAsia="宋体" w:cs="宋体"/>
          <w:b/>
          <w:bCs/>
          <w:i w:val="0"/>
          <w:iCs w:val="0"/>
          <w:caps w:val="0"/>
          <w:color w:val="auto"/>
          <w:spacing w:val="0"/>
          <w:sz w:val="21"/>
          <w:szCs w:val="21"/>
          <w:shd w:val="clear" w:fill="FFFFFF"/>
        </w:rPr>
        <w:t>视为提供虚假材料。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default" w:ascii="Calibri" w:hAnsi="Calibri" w:eastAsia="微软雅黑" w:cs="Calibri"/>
          <w:b/>
          <w:bCs/>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三-1-②优先类节能产品、环境标志产品证明材料（价格扣除适用，若有）</w:t>
      </w:r>
    </w:p>
    <w:p>
      <w:pPr>
        <w:pStyle w:val="8"/>
        <w:keepNext w:val="0"/>
        <w:keepLines w:val="0"/>
        <w:widowControl/>
        <w:suppressLineNumbers w:val="0"/>
        <w:spacing w:before="0" w:beforeAutospacing="0" w:after="150" w:afterAutospacing="0"/>
        <w:ind w:left="-362" w:right="-362"/>
        <w:jc w:val="center"/>
        <w:rPr>
          <w:color w:val="auto"/>
        </w:rPr>
      </w:pPr>
      <w:r>
        <w:rPr>
          <w:rStyle w:val="11"/>
          <w:rFonts w:hint="default" w:ascii="Calibri" w:hAnsi="Calibri" w:eastAsia="微软雅黑" w:cs="Calibri"/>
          <w:b/>
          <w:bCs/>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三-2小型、微型企业产品等价格扣除证明材料（若有）</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三-2-①中小企业声明函（价格扣除适用，若有）</w:t>
      </w:r>
    </w:p>
    <w:p>
      <w:pPr>
        <w:pStyle w:val="8"/>
        <w:keepNext w:val="0"/>
        <w:keepLines w:val="0"/>
        <w:widowControl/>
        <w:suppressLineNumbers w:val="0"/>
        <w:spacing w:before="0" w:beforeAutospacing="0" w:after="150" w:afterAutospacing="0"/>
        <w:ind w:left="-362" w:right="-362"/>
        <w:rPr>
          <w:color w:val="auto"/>
        </w:rPr>
      </w:pPr>
    </w:p>
    <w:p>
      <w:pPr>
        <w:pStyle w:val="5"/>
        <w:keepNext w:val="0"/>
        <w:keepLines w:val="0"/>
        <w:widowControl/>
        <w:suppressLineNumbers w:val="0"/>
        <w:spacing w:before="150" w:beforeAutospacing="0" w:after="150" w:afterAutospacing="0" w:line="17" w:lineRule="atLeast"/>
        <w:ind w:left="-362" w:right="-362"/>
        <w:jc w:val="center"/>
        <w:rPr>
          <w:rFonts w:hint="default" w:ascii="Helvetica" w:hAnsi="Helvetica" w:eastAsia="Helvetica" w:cs="Helvetica"/>
          <w:b w:val="0"/>
          <w:bCs w:val="0"/>
          <w:color w:val="auto"/>
          <w:sz w:val="19"/>
          <w:szCs w:val="19"/>
        </w:rPr>
      </w:pPr>
      <w:r>
        <w:rPr>
          <w:rStyle w:val="11"/>
          <w:rFonts w:hint="eastAsia" w:ascii="宋体" w:hAnsi="宋体" w:eastAsia="宋体" w:cs="宋体"/>
          <w:b/>
          <w:bCs/>
          <w:i w:val="0"/>
          <w:iCs w:val="0"/>
          <w:caps w:val="0"/>
          <w:color w:val="auto"/>
          <w:spacing w:val="0"/>
          <w:sz w:val="24"/>
          <w:szCs w:val="24"/>
          <w:shd w:val="clear" w:fill="FFFFFF"/>
        </w:rPr>
        <w:t>中小企业声明函（货物）</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1. </w:t>
      </w:r>
      <w:r>
        <w:rPr>
          <w:rFonts w:hint="eastAsia" w:ascii="宋体" w:hAnsi="宋体" w:eastAsia="宋体" w:cs="宋体"/>
          <w:i w:val="0"/>
          <w:iCs w:val="0"/>
          <w:caps w:val="0"/>
          <w:color w:val="auto"/>
          <w:spacing w:val="0"/>
          <w:sz w:val="21"/>
          <w:szCs w:val="21"/>
          <w:u w:val="single"/>
          <w:shd w:val="clear" w:fill="FFFFFF"/>
        </w:rPr>
        <w:t> （标的名称） </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（采购文件中明确的所属行业）</w:t>
      </w:r>
      <w:r>
        <w:rPr>
          <w:rFonts w:hint="eastAsia" w:ascii="宋体" w:hAnsi="宋体" w:eastAsia="宋体" w:cs="宋体"/>
          <w:i w:val="0"/>
          <w:iCs w:val="0"/>
          <w:caps w:val="0"/>
          <w:color w:val="auto"/>
          <w:spacing w:val="0"/>
          <w:sz w:val="21"/>
          <w:szCs w:val="21"/>
          <w:shd w:val="clear" w:fill="FFFFFF"/>
        </w:rPr>
        <w:t>行业；制造商为（企业名称），从业人员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w:t>
      </w:r>
      <w:r>
        <w:rPr>
          <w:rFonts w:hint="eastAsia" w:ascii="宋体" w:hAnsi="宋体" w:eastAsia="宋体" w:cs="宋体"/>
          <w:i w:val="0"/>
          <w:iCs w:val="0"/>
          <w:caps w:val="0"/>
          <w:color w:val="auto"/>
          <w:spacing w:val="0"/>
          <w:sz w:val="21"/>
          <w:szCs w:val="21"/>
          <w:shd w:val="clear" w:fill="FFFFFF"/>
          <w:vertAlign w:val="superscript"/>
        </w:rPr>
        <w:t>1</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（中型企业、小型企业、微型企业）</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2. </w:t>
      </w:r>
      <w:r>
        <w:rPr>
          <w:rFonts w:hint="eastAsia" w:ascii="宋体" w:hAnsi="宋体" w:eastAsia="宋体" w:cs="宋体"/>
          <w:i w:val="0"/>
          <w:iCs w:val="0"/>
          <w:caps w:val="0"/>
          <w:color w:val="auto"/>
          <w:spacing w:val="0"/>
          <w:sz w:val="21"/>
          <w:szCs w:val="21"/>
          <w:u w:val="single"/>
          <w:shd w:val="clear" w:fill="FFFFFF"/>
        </w:rPr>
        <w:t> （标的名称） </w:t>
      </w:r>
      <w:r>
        <w:rPr>
          <w:rFonts w:hint="eastAsia" w:ascii="宋体" w:hAnsi="宋体" w:eastAsia="宋体" w:cs="宋体"/>
          <w:i w:val="0"/>
          <w:iCs w:val="0"/>
          <w:caps w:val="0"/>
          <w:color w:val="auto"/>
          <w:spacing w:val="0"/>
          <w:sz w:val="21"/>
          <w:szCs w:val="21"/>
          <w:shd w:val="clear" w:fill="FFFFFF"/>
        </w:rPr>
        <w:t>， 属于</w:t>
      </w:r>
      <w:r>
        <w:rPr>
          <w:rFonts w:hint="eastAsia" w:ascii="宋体" w:hAnsi="宋体" w:eastAsia="宋体" w:cs="宋体"/>
          <w:i w:val="0"/>
          <w:iCs w:val="0"/>
          <w:caps w:val="0"/>
          <w:color w:val="auto"/>
          <w:spacing w:val="0"/>
          <w:sz w:val="21"/>
          <w:szCs w:val="21"/>
          <w:u w:val="single"/>
          <w:shd w:val="clear" w:fill="FFFFFF"/>
        </w:rPr>
        <w:t> （采购文件中明确的所属行业 ）</w:t>
      </w:r>
      <w:r>
        <w:rPr>
          <w:rFonts w:hint="eastAsia" w:ascii="宋体" w:hAnsi="宋体" w:eastAsia="宋体" w:cs="宋体"/>
          <w:i w:val="0"/>
          <w:iCs w:val="0"/>
          <w:caps w:val="0"/>
          <w:color w:val="auto"/>
          <w:spacing w:val="0"/>
          <w:sz w:val="21"/>
          <w:szCs w:val="21"/>
          <w:shd w:val="clear" w:fill="FFFFFF"/>
        </w:rPr>
        <w:t>行业；制造商为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万元，属于</w:t>
      </w:r>
      <w:r>
        <w:rPr>
          <w:rFonts w:hint="eastAsia" w:ascii="宋体" w:hAnsi="宋体" w:eastAsia="宋体" w:cs="宋体"/>
          <w:i w:val="0"/>
          <w:iCs w:val="0"/>
          <w:caps w:val="0"/>
          <w:color w:val="auto"/>
          <w:spacing w:val="0"/>
          <w:sz w:val="21"/>
          <w:szCs w:val="21"/>
          <w:u w:val="single"/>
          <w:shd w:val="clear" w:fill="FFFFFF"/>
        </w:rPr>
        <w:t>（中型企业、小型企业、微型企业）</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firstLine="420"/>
        <w:rPr>
          <w:color w:val="auto"/>
        </w:rPr>
      </w:pPr>
      <w:r>
        <w:rPr>
          <w:rFonts w:hint="default" w:ascii="Calibri" w:hAnsi="Calibri" w:eastAsia="微软雅黑" w:cs="Calibri"/>
          <w:i w:val="0"/>
          <w:iCs w:val="0"/>
          <w:caps w:val="0"/>
          <w:color w:val="auto"/>
          <w:spacing w:val="0"/>
          <w:sz w:val="24"/>
          <w:szCs w:val="24"/>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以上企业，不属于大企业的分支机构，不存在控股股东为大企业的情形，也不存在与大企业的负责人为同一人的情形。</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本企业对上述声明内容的真实性负责。如有虚假，将依法承担相应责任。</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企业名称（盖章）：                                     日期：</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1、从业人员、营业收入、资产总额填报上一年度数据，无上一年度数据的新成立企业可不填报。</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5"/>
        <w:keepNext w:val="0"/>
        <w:keepLines w:val="0"/>
        <w:widowControl/>
        <w:suppressLineNumbers w:val="0"/>
        <w:spacing w:before="150" w:beforeAutospacing="0" w:after="150" w:afterAutospacing="0" w:line="17" w:lineRule="atLeast"/>
        <w:ind w:left="-362" w:right="-362"/>
        <w:jc w:val="center"/>
        <w:rPr>
          <w:rFonts w:hint="default" w:ascii="Helvetica" w:hAnsi="Helvetica" w:eastAsia="Helvetica" w:cs="Helvetica"/>
          <w:b w:val="0"/>
          <w:bCs w:val="0"/>
          <w:color w:val="auto"/>
          <w:sz w:val="19"/>
          <w:szCs w:val="19"/>
        </w:rPr>
      </w:pPr>
      <w:r>
        <w:rPr>
          <w:rStyle w:val="11"/>
          <w:rFonts w:hint="eastAsia" w:ascii="宋体" w:hAnsi="宋体" w:eastAsia="宋体" w:cs="宋体"/>
          <w:b/>
          <w:bCs/>
          <w:i w:val="0"/>
          <w:iCs w:val="0"/>
          <w:caps w:val="0"/>
          <w:color w:val="auto"/>
          <w:spacing w:val="0"/>
          <w:sz w:val="24"/>
          <w:szCs w:val="24"/>
          <w:shd w:val="clear" w:fill="FFFFFF"/>
        </w:rPr>
        <w:t>中小企业声明函（工程、服务</w:t>
      </w:r>
      <w:r>
        <w:rPr>
          <w:rStyle w:val="11"/>
          <w:rFonts w:hint="eastAsia" w:ascii="宋体" w:hAnsi="宋体" w:eastAsia="宋体" w:cs="宋体"/>
          <w:b/>
          <w:bCs/>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sz w:val="21"/>
          <w:szCs w:val="21"/>
          <w:u w:val="single"/>
          <w:shd w:val="clear" w:fill="FFFFFF"/>
        </w:rPr>
        <w:t>（单位名称）</w:t>
      </w:r>
      <w:r>
        <w:rPr>
          <w:rFonts w:hint="eastAsia" w:ascii="宋体" w:hAnsi="宋体" w:eastAsia="宋体" w:cs="宋体"/>
          <w:i w:val="0"/>
          <w:iCs w:val="0"/>
          <w:caps w:val="0"/>
          <w:color w:val="auto"/>
          <w:spacing w:val="0"/>
          <w:sz w:val="21"/>
          <w:szCs w:val="21"/>
          <w:shd w:val="clear" w:fill="FFFFFF"/>
        </w:rPr>
        <w:t>的</w:t>
      </w:r>
      <w:r>
        <w:rPr>
          <w:rFonts w:hint="eastAsia" w:ascii="宋体" w:hAnsi="宋体" w:eastAsia="宋体" w:cs="宋体"/>
          <w:i w:val="0"/>
          <w:iCs w:val="0"/>
          <w:caps w:val="0"/>
          <w:color w:val="auto"/>
          <w:spacing w:val="0"/>
          <w:sz w:val="21"/>
          <w:szCs w:val="21"/>
          <w:u w:val="single"/>
          <w:shd w:val="clear" w:fill="FFFFFF"/>
        </w:rPr>
        <w:t>（项目名称）</w:t>
      </w:r>
      <w:r>
        <w:rPr>
          <w:rFonts w:hint="eastAsia" w:ascii="宋体" w:hAnsi="宋体" w:eastAsia="宋体" w:cs="宋体"/>
          <w:i w:val="0"/>
          <w:iCs w:val="0"/>
          <w:caps w:val="0"/>
          <w:color w:val="auto"/>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u w:val="single"/>
          <w:shd w:val="clear" w:fill="FFFFFF"/>
        </w:rPr>
        <w:t> （标的名称）</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（采购文件中明确的所属行业）</w:t>
      </w:r>
      <w:r>
        <w:rPr>
          <w:rFonts w:hint="eastAsia" w:ascii="宋体" w:hAnsi="宋体" w:eastAsia="宋体" w:cs="宋体"/>
          <w:i w:val="0"/>
          <w:iCs w:val="0"/>
          <w:caps w:val="0"/>
          <w:color w:val="auto"/>
          <w:spacing w:val="0"/>
          <w:sz w:val="21"/>
          <w:szCs w:val="21"/>
          <w:shd w:val="clear" w:fill="FFFFFF"/>
        </w:rPr>
        <w:t>；承建（承接）企业为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w:t>
      </w:r>
      <w:r>
        <w:rPr>
          <w:rFonts w:hint="eastAsia" w:ascii="宋体" w:hAnsi="宋体" w:eastAsia="宋体" w:cs="宋体"/>
          <w:i w:val="0"/>
          <w:iCs w:val="0"/>
          <w:caps w:val="0"/>
          <w:color w:val="auto"/>
          <w:spacing w:val="0"/>
          <w:sz w:val="21"/>
          <w:szCs w:val="21"/>
          <w:shd w:val="clear" w:fill="FFFFFF"/>
          <w:vertAlign w:val="superscript"/>
        </w:rPr>
        <w:t>1</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（中型企业、小型企业、微型企业）</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2.</w:t>
      </w:r>
      <w:r>
        <w:rPr>
          <w:rFonts w:hint="eastAsia" w:ascii="宋体" w:hAnsi="宋体" w:eastAsia="宋体" w:cs="宋体"/>
          <w:i w:val="0"/>
          <w:iCs w:val="0"/>
          <w:caps w:val="0"/>
          <w:color w:val="auto"/>
          <w:spacing w:val="0"/>
          <w:sz w:val="21"/>
          <w:szCs w:val="21"/>
          <w:u w:val="single"/>
          <w:shd w:val="clear" w:fill="FFFFFF"/>
        </w:rPr>
        <w:t> （标的名称）</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（采购文件中明确的所属行业）</w:t>
      </w:r>
      <w:r>
        <w:rPr>
          <w:rFonts w:hint="eastAsia" w:ascii="宋体" w:hAnsi="宋体" w:eastAsia="宋体" w:cs="宋体"/>
          <w:i w:val="0"/>
          <w:iCs w:val="0"/>
          <w:caps w:val="0"/>
          <w:color w:val="auto"/>
          <w:spacing w:val="0"/>
          <w:sz w:val="21"/>
          <w:szCs w:val="21"/>
          <w:shd w:val="clear" w:fill="FFFFFF"/>
        </w:rPr>
        <w:t>；承建（承接）企业为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万元，属于</w:t>
      </w:r>
      <w:r>
        <w:rPr>
          <w:rFonts w:hint="eastAsia" w:ascii="宋体" w:hAnsi="宋体" w:eastAsia="宋体" w:cs="宋体"/>
          <w:i w:val="0"/>
          <w:iCs w:val="0"/>
          <w:caps w:val="0"/>
          <w:color w:val="auto"/>
          <w:spacing w:val="0"/>
          <w:sz w:val="21"/>
          <w:szCs w:val="21"/>
          <w:u w:val="single"/>
          <w:shd w:val="clear" w:fill="FFFFFF"/>
        </w:rPr>
        <w:t>（中型企业、小型企业、微型企业）</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以上企业，不属于大企业的分支机构，不存在控股股东为大企业的情形，也不存在与大企业的负责人为同一人的情形。</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本企业对上述声明内容的真实性负责。如有虚假，将依法承担相应责任。</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企业名称（盖章）：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日期：</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1、从业人员、营业收入、资产总额填报上一年度数据，无上一年度数据的新成立企业可不填报。</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keepNext w:val="0"/>
        <w:keepLines w:val="0"/>
        <w:widowControl/>
        <w:suppressLineNumbers w:val="0"/>
        <w:spacing w:before="76" w:beforeAutospacing="0" w:after="76" w:afterAutospacing="0"/>
        <w:ind w:left="-362" w:right="-362" w:firstLine="420"/>
        <w:rPr>
          <w:color w:val="auto"/>
        </w:rPr>
      </w:pPr>
      <w:r>
        <w:rPr>
          <w:rStyle w:val="11"/>
          <w:rFonts w:hint="eastAsia" w:ascii="宋体" w:hAnsi="宋体" w:eastAsia="宋体" w:cs="宋体"/>
          <w:b/>
          <w:bCs/>
          <w:i w:val="0"/>
          <w:iCs w:val="0"/>
          <w:caps w:val="0"/>
          <w:color w:val="auto"/>
          <w:spacing w:val="0"/>
          <w:sz w:val="21"/>
          <w:szCs w:val="21"/>
          <w:shd w:val="clear" w:fill="FFFFFF"/>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rStyle w:val="11"/>
          <w:rFonts w:hint="eastAsia" w:ascii="宋体" w:hAnsi="宋体" w:eastAsia="宋体" w:cs="宋体"/>
          <w:b/>
          <w:bCs/>
          <w:i w:val="0"/>
          <w:iCs w:val="0"/>
          <w:caps w:val="0"/>
          <w:color w:val="auto"/>
          <w:spacing w:val="0"/>
          <w:sz w:val="21"/>
          <w:szCs w:val="21"/>
          <w:shd w:val="clear" w:fill="FFFFFF"/>
        </w:rPr>
      </w:pP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三-2-②小型、微型企业等证明材料（价格扣除适用，若有）</w:t>
      </w:r>
    </w:p>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1、投标人应按照招标文件要求提供相应证明材料，证明材料应与《中小企业声明函》的内容相一致，否则视为《中小企业声明函》内容不真实。</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2、投标人为监狱企业的，根据其提供的由省级以上监狱管理局、戒毒管理局（含新疆生产建设兵团）出具的属于监狱企业的证明文件进行认定，监狱企业视同小型、微型企业。</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附：</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残疾人福利性单位声明函（价格扣除适用，若有）</w:t>
      </w:r>
    </w:p>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iCs w:val="0"/>
          <w:caps w:val="0"/>
          <w:color w:val="auto"/>
          <w:spacing w:val="0"/>
          <w:sz w:val="21"/>
          <w:szCs w:val="21"/>
          <w:u w:val="single"/>
          <w:shd w:val="clear" w:fill="FFFFFF"/>
        </w:rPr>
        <w:t>（填写“项目名称”）</w:t>
      </w:r>
      <w:r>
        <w:rPr>
          <w:rFonts w:hint="eastAsia" w:ascii="宋体" w:hAnsi="宋体" w:eastAsia="宋体" w:cs="宋体"/>
          <w:i w:val="0"/>
          <w:iCs w:val="0"/>
          <w:caps w:val="0"/>
          <w:color w:val="auto"/>
          <w:spacing w:val="0"/>
          <w:sz w:val="21"/>
          <w:szCs w:val="21"/>
          <w:shd w:val="clear" w:fill="FFFFFF"/>
        </w:rPr>
        <w:t>项目采购活动：</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）提供本投标人制造的</w:t>
      </w:r>
      <w:r>
        <w:rPr>
          <w:rFonts w:hint="eastAsia" w:ascii="宋体" w:hAnsi="宋体" w:eastAsia="宋体" w:cs="宋体"/>
          <w:i w:val="0"/>
          <w:iCs w:val="0"/>
          <w:caps w:val="0"/>
          <w:color w:val="auto"/>
          <w:spacing w:val="0"/>
          <w:sz w:val="21"/>
          <w:szCs w:val="21"/>
          <w:u w:val="single"/>
          <w:shd w:val="clear" w:fill="FFFFFF"/>
        </w:rPr>
        <w:t>（填写“所投采购包、品目号”）</w:t>
      </w:r>
      <w:r>
        <w:rPr>
          <w:rFonts w:hint="eastAsia" w:ascii="宋体" w:hAnsi="宋体" w:eastAsia="宋体" w:cs="宋体"/>
          <w:i w:val="0"/>
          <w:iCs w:val="0"/>
          <w:caps w:val="0"/>
          <w:color w:val="auto"/>
          <w:spacing w:val="0"/>
          <w:sz w:val="21"/>
          <w:szCs w:val="21"/>
          <w:shd w:val="clear" w:fill="FFFFFF"/>
        </w:rPr>
        <w:t>货物，或提供其他残疾人福利性单位制造的</w:t>
      </w:r>
      <w:r>
        <w:rPr>
          <w:rFonts w:hint="eastAsia" w:ascii="宋体" w:hAnsi="宋体" w:eastAsia="宋体" w:cs="宋体"/>
          <w:i w:val="0"/>
          <w:iCs w:val="0"/>
          <w:caps w:val="0"/>
          <w:color w:val="auto"/>
          <w:spacing w:val="0"/>
          <w:sz w:val="21"/>
          <w:szCs w:val="21"/>
          <w:u w:val="single"/>
          <w:shd w:val="clear" w:fill="FFFFFF"/>
        </w:rPr>
        <w:t>（填写“所投采购包、品目号”）</w:t>
      </w:r>
      <w:r>
        <w:rPr>
          <w:rFonts w:hint="eastAsia" w:ascii="宋体" w:hAnsi="宋体" w:eastAsia="宋体" w:cs="宋体"/>
          <w:i w:val="0"/>
          <w:iCs w:val="0"/>
          <w:caps w:val="0"/>
          <w:color w:val="auto"/>
          <w:spacing w:val="0"/>
          <w:sz w:val="21"/>
          <w:szCs w:val="21"/>
          <w:shd w:val="clear" w:fill="FFFFFF"/>
        </w:rPr>
        <w:t>货物（不包括使用非残疾人福利性单位注册商标的货物）。（说明：只有部分货物由残疾人福利企业制造的，在该货物后标</w:t>
      </w:r>
      <w:r>
        <w:rPr>
          <w:rFonts w:hint="default" w:ascii="Segoe UI Symbol" w:hAnsi="Segoe UI Symbol" w:eastAsia="Segoe UI Symbol" w:cs="Segoe UI Symbol"/>
          <w:i w:val="0"/>
          <w:iCs w:val="0"/>
          <w:caps w:val="0"/>
          <w:color w:val="auto"/>
          <w:spacing w:val="0"/>
          <w:sz w:val="19"/>
          <w:szCs w:val="19"/>
          <w:shd w:val="clear" w:fill="FFFFFF"/>
        </w:rPr>
        <w:t>★</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）由本投标人承建的</w:t>
      </w:r>
      <w:r>
        <w:rPr>
          <w:rFonts w:hint="eastAsia" w:ascii="宋体" w:hAnsi="宋体" w:eastAsia="宋体" w:cs="宋体"/>
          <w:i w:val="0"/>
          <w:iCs w:val="0"/>
          <w:caps w:val="0"/>
          <w:color w:val="auto"/>
          <w:spacing w:val="0"/>
          <w:sz w:val="21"/>
          <w:szCs w:val="21"/>
          <w:u w:val="single"/>
          <w:shd w:val="clear" w:fill="FFFFFF"/>
        </w:rPr>
        <w:t>（填写“所投采购包、品目号”）</w:t>
      </w:r>
      <w:r>
        <w:rPr>
          <w:rFonts w:hint="eastAsia" w:ascii="宋体" w:hAnsi="宋体" w:eastAsia="宋体" w:cs="宋体"/>
          <w:i w:val="0"/>
          <w:iCs w:val="0"/>
          <w:caps w:val="0"/>
          <w:color w:val="auto"/>
          <w:spacing w:val="0"/>
          <w:sz w:val="21"/>
          <w:szCs w:val="21"/>
          <w:shd w:val="clear" w:fill="FFFFFF"/>
        </w:rPr>
        <w:t>工程</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）由本投标人承接的</w:t>
      </w:r>
      <w:r>
        <w:rPr>
          <w:rFonts w:hint="eastAsia" w:ascii="宋体" w:hAnsi="宋体" w:eastAsia="宋体" w:cs="宋体"/>
          <w:i w:val="0"/>
          <w:iCs w:val="0"/>
          <w:caps w:val="0"/>
          <w:color w:val="auto"/>
          <w:spacing w:val="0"/>
          <w:sz w:val="21"/>
          <w:szCs w:val="21"/>
          <w:u w:val="single"/>
          <w:shd w:val="clear" w:fill="FFFFFF"/>
        </w:rPr>
        <w:t>（填写“所投采购包、品目号”）</w:t>
      </w:r>
      <w:r>
        <w:rPr>
          <w:rFonts w:hint="eastAsia" w:ascii="宋体" w:hAnsi="宋体" w:eastAsia="宋体" w:cs="宋体"/>
          <w:i w:val="0"/>
          <w:iCs w:val="0"/>
          <w:caps w:val="0"/>
          <w:color w:val="auto"/>
          <w:spacing w:val="0"/>
          <w:sz w:val="21"/>
          <w:szCs w:val="21"/>
          <w:shd w:val="clear" w:fill="FFFFFF"/>
        </w:rPr>
        <w:t>服务；</w:t>
      </w:r>
    </w:p>
    <w:p>
      <w:pPr>
        <w:pStyle w:val="8"/>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本投标人对上述声明的真实性负责。如有虚假，将依法承担相应责任。</w:t>
      </w:r>
    </w:p>
    <w:p>
      <w:pPr>
        <w:pStyle w:val="8"/>
        <w:keepNext w:val="0"/>
        <w:keepLines w:val="0"/>
        <w:widowControl/>
        <w:suppressLineNumbers w:val="0"/>
        <w:spacing w:before="76" w:beforeAutospacing="0" w:after="76" w:afterAutospacing="0"/>
        <w:ind w:left="-362" w:right="-362" w:firstLine="420"/>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备注：</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1、请投标人按照实际情况编制填写本声明函，并在相应的（）中打“√”。</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2、若《残疾人福利性单位声明函》内容不真实，</w:t>
      </w:r>
      <w:r>
        <w:rPr>
          <w:rStyle w:val="11"/>
          <w:rFonts w:hint="eastAsia" w:ascii="宋体" w:hAnsi="宋体" w:eastAsia="宋体" w:cs="宋体"/>
          <w:b/>
          <w:bCs/>
          <w:i w:val="0"/>
          <w:iCs w:val="0"/>
          <w:caps w:val="0"/>
          <w:color w:val="auto"/>
          <w:spacing w:val="0"/>
          <w:sz w:val="21"/>
          <w:szCs w:val="21"/>
          <w:shd w:val="clear" w:fill="FFFFFF"/>
        </w:rPr>
        <w:t>视为提供虚假材料。</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default" w:ascii="Calibri" w:hAnsi="Calibri" w:eastAsia="微软雅黑" w:cs="Calibri"/>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76" w:beforeAutospacing="0" w:after="24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附：</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19"/>
          <w:szCs w:val="19"/>
          <w:shd w:val="clear" w:fill="FFFFFF"/>
        </w:rPr>
        <w:t>监狱企业证明材料</w:t>
      </w:r>
    </w:p>
    <w:p>
      <w:pPr>
        <w:pStyle w:val="8"/>
        <w:keepNext w:val="0"/>
        <w:keepLines w:val="0"/>
        <w:widowControl/>
        <w:suppressLineNumbers w:val="0"/>
        <w:spacing w:before="76" w:beforeAutospacing="0" w:after="76" w:afterAutospacing="0"/>
        <w:ind w:left="-362" w:right="-362" w:firstLine="0"/>
        <w:jc w:val="center"/>
        <w:rPr>
          <w:color w:val="auto"/>
        </w:rPr>
      </w:pPr>
      <w:r>
        <w:rPr>
          <w:rStyle w:val="11"/>
          <w:rFonts w:hint="eastAsia" w:ascii="宋体" w:hAnsi="宋体" w:eastAsia="宋体" w:cs="宋体"/>
          <w:b/>
          <w:bCs/>
          <w:i w:val="0"/>
          <w:iCs w:val="0"/>
          <w:caps w:val="0"/>
          <w:color w:val="auto"/>
          <w:spacing w:val="0"/>
          <w:sz w:val="19"/>
          <w:szCs w:val="19"/>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4"/>
          <w:szCs w:val="24"/>
          <w:shd w:val="clear" w:fill="FFFFFF"/>
        </w:rPr>
        <w:t>  投标人为监狱企业，提供本单位制造的货物（承接的服务），并在投标文件中提供省级以上监狱管理局、戒毒管理局（含新疆生产建设兵团）出具的属于监狱企业的证明文件。</w:t>
      </w:r>
    </w:p>
    <w:p>
      <w:pPr>
        <w:pStyle w:val="8"/>
        <w:keepNext w:val="0"/>
        <w:keepLines w:val="0"/>
        <w:widowControl/>
        <w:suppressLineNumbers w:val="0"/>
        <w:spacing w:before="0" w:beforeAutospacing="0" w:after="150" w:afterAutospacing="0"/>
        <w:ind w:left="-362" w:right="-362"/>
        <w:jc w:val="center"/>
        <w:rPr>
          <w:rFonts w:hint="default" w:ascii="Calibri" w:hAnsi="Calibri" w:eastAsia="微软雅黑" w:cs="Calibri"/>
          <w:i w:val="0"/>
          <w:iCs w:val="0"/>
          <w:caps w:val="0"/>
          <w:color w:val="auto"/>
          <w:spacing w:val="0"/>
          <w:sz w:val="21"/>
          <w:szCs w:val="21"/>
          <w:shd w:val="clear" w:fill="FFFFFF"/>
        </w:rPr>
      </w:pP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三-3招标文件规定的其他价格扣除证明材料（若有）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若投标人可享受招标文件规定的除</w:t>
      </w:r>
      <w:r>
        <w:rPr>
          <w:rStyle w:val="11"/>
          <w:rFonts w:hint="eastAsia" w:ascii="宋体" w:hAnsi="宋体" w:eastAsia="宋体" w:cs="宋体"/>
          <w:b/>
          <w:bCs/>
          <w:i w:val="0"/>
          <w:iCs w:val="0"/>
          <w:caps w:val="0"/>
          <w:color w:val="auto"/>
          <w:spacing w:val="0"/>
          <w:sz w:val="21"/>
          <w:szCs w:val="21"/>
          <w:shd w:val="clear" w:fill="FFFFFF"/>
        </w:rPr>
        <w:t>“节能（非强制类）、环境标志产品价格扣除”及“小型、微型企业产品等价格扣除”</w:t>
      </w:r>
      <w:r>
        <w:rPr>
          <w:rFonts w:hint="eastAsia" w:ascii="宋体" w:hAnsi="宋体" w:eastAsia="宋体" w:cs="宋体"/>
          <w:i w:val="0"/>
          <w:iCs w:val="0"/>
          <w:caps w:val="0"/>
          <w:color w:val="auto"/>
          <w:spacing w:val="0"/>
          <w:sz w:val="21"/>
          <w:szCs w:val="21"/>
          <w:shd w:val="clear" w:fill="FFFFFF"/>
        </w:rPr>
        <w:t>外的其他价格扣除优惠，则投标人应按照招标文件要求提供相应证明材料。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24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四、招标文件规定的加分证明材料（若有）</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四-1优先类节能产品、环境标志产品加分证明材料（若有）</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1"/>
          <w:szCs w:val="21"/>
          <w:shd w:val="clear" w:fill="FFFFFF"/>
        </w:rPr>
        <w:t>四-1-①优先类节能产品、环境标志产品统计表（加分适用，若有）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项目编号：</w:t>
      </w:r>
      <w:r>
        <w:rPr>
          <w:rFonts w:hint="eastAsia" w:ascii="宋体" w:hAnsi="宋体" w:eastAsia="宋体" w:cs="宋体"/>
          <w:i w:val="0"/>
          <w:iCs w:val="0"/>
          <w:caps w:val="0"/>
          <w:color w:val="auto"/>
          <w:spacing w:val="0"/>
          <w:sz w:val="21"/>
          <w:szCs w:val="21"/>
          <w:u w:val="single"/>
          <w:shd w:val="clear" w:fill="FFFFFF"/>
        </w:rPr>
        <w:t>                   </w:t>
      </w:r>
    </w:p>
    <w:p>
      <w:pPr>
        <w:pStyle w:val="8"/>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iCs w:val="0"/>
          <w:caps w:val="0"/>
          <w:color w:val="auto"/>
          <w:spacing w:val="0"/>
          <w:sz w:val="21"/>
          <w:szCs w:val="21"/>
          <w:shd w:val="clear" w:fill="FFFFFF"/>
        </w:rPr>
        <w:t>货币及单位：人民币元</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a.采购包内属于节能、环境标志产品的报价总金额：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8"/>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b.采购包投标总价（报价总金额）：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8"/>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c.“采购包内属于节能、环境标志产品的报价总金额”占“采购包投标总价（报价总金额）”的比例（以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1、对节能、环境标志产品计算加分时，只依据投标文件</w:t>
      </w:r>
      <w:r>
        <w:rPr>
          <w:rStyle w:val="11"/>
          <w:rFonts w:hint="eastAsia" w:ascii="宋体" w:hAnsi="宋体" w:eastAsia="宋体" w:cs="宋体"/>
          <w:b/>
          <w:bCs/>
          <w:i w:val="0"/>
          <w:iCs w:val="0"/>
          <w:caps w:val="0"/>
          <w:color w:val="auto"/>
          <w:spacing w:val="0"/>
          <w:sz w:val="21"/>
          <w:szCs w:val="21"/>
          <w:shd w:val="clear" w:fill="FFFFFF"/>
        </w:rPr>
        <w:t>“四</w:t>
      </w:r>
      <w:r>
        <w:rPr>
          <w:rStyle w:val="11"/>
          <w:rFonts w:hint="default" w:ascii="Calibri" w:hAnsi="Calibri" w:eastAsia="宋体" w:cs="Calibri"/>
          <w:b/>
          <w:bCs/>
          <w:i w:val="0"/>
          <w:iCs w:val="0"/>
          <w:caps w:val="0"/>
          <w:color w:val="auto"/>
          <w:spacing w:val="0"/>
          <w:sz w:val="21"/>
          <w:szCs w:val="21"/>
          <w:shd w:val="clear" w:fill="FFFFFF"/>
        </w:rPr>
        <w:t>-1-</w:t>
      </w:r>
      <w:r>
        <w:rPr>
          <w:rStyle w:val="11"/>
          <w:rFonts w:hint="eastAsia" w:ascii="宋体" w:hAnsi="宋体" w:eastAsia="宋体" w:cs="宋体"/>
          <w:b/>
          <w:bCs/>
          <w:i w:val="0"/>
          <w:iCs w:val="0"/>
          <w:caps w:val="0"/>
          <w:color w:val="auto"/>
          <w:spacing w:val="0"/>
          <w:sz w:val="21"/>
          <w:szCs w:val="21"/>
          <w:shd w:val="clear" w:fill="FFFFFF"/>
        </w:rPr>
        <w:t>②优先类节能产品、环境标志产品加分证明材料（加分适用，若有）”。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2、本表以采购包为单位，不同采购包请分别填写；同一采购包请按照其品目号顺序分别填写。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3、具体统计、计算：</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3.1</w:t>
      </w:r>
      <w:r>
        <w:rPr>
          <w:rFonts w:hint="default" w:ascii="Calibri" w:hAnsi="Calibri" w:eastAsia="微软雅黑" w:cs="Calibri"/>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rPr>
        <w:t>若节能、环境标志产品仅是构成投标产品的部件、组件或零件，则该投标产品不享受鼓励优惠政策。同一品目中各认证证书不重复计算加分。强制类节能产品不享受加分。</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3.2计算结果若除不尽，可四舍五入保留到小数点后两位。</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3.3投标人应按照招标文件要求认真统计、计算，否则评标委员会不予认定。</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3.4若无节能、环境标志产品，不填写本表，否则，</w:t>
      </w:r>
      <w:r>
        <w:rPr>
          <w:rStyle w:val="11"/>
          <w:rFonts w:hint="eastAsia" w:ascii="宋体" w:hAnsi="宋体" w:eastAsia="宋体" w:cs="宋体"/>
          <w:b/>
          <w:bCs/>
          <w:i w:val="0"/>
          <w:iCs w:val="0"/>
          <w:caps w:val="0"/>
          <w:color w:val="auto"/>
          <w:spacing w:val="0"/>
          <w:sz w:val="21"/>
          <w:szCs w:val="21"/>
          <w:shd w:val="clear" w:fill="FFFFFF"/>
        </w:rPr>
        <w:t>视为提供虚假材料</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240"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default" w:ascii="Calibri" w:hAnsi="Calibri" w:eastAsia="微软雅黑" w:cs="Calibri"/>
          <w:b/>
          <w:bCs/>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四-1-②优先类节能产品、环境标志产品证明材料（加分适用，若有）</w:t>
      </w:r>
    </w:p>
    <w:p>
      <w:pPr>
        <w:pStyle w:val="8"/>
        <w:keepNext w:val="0"/>
        <w:keepLines w:val="0"/>
        <w:widowControl/>
        <w:suppressLineNumbers w:val="0"/>
        <w:spacing w:before="0" w:beforeAutospacing="0" w:after="150" w:afterAutospacing="0"/>
        <w:ind w:left="-362" w:right="-362"/>
        <w:rPr>
          <w:color w:val="auto"/>
        </w:rPr>
      </w:pPr>
      <w:r>
        <w:rPr>
          <w:rStyle w:val="11"/>
          <w:rFonts w:hint="eastAsia" w:ascii="宋体" w:hAnsi="宋体" w:eastAsia="宋体" w:cs="宋体"/>
          <w:b/>
          <w:bCs/>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四</w:t>
      </w:r>
      <w:r>
        <w:rPr>
          <w:rStyle w:val="11"/>
          <w:rFonts w:hint="eastAsia" w:ascii="宋体" w:hAnsi="宋体" w:eastAsia="宋体" w:cs="宋体"/>
          <w:b/>
          <w:bCs/>
          <w:i w:val="0"/>
          <w:iCs w:val="0"/>
          <w:caps w:val="0"/>
          <w:color w:val="auto"/>
          <w:spacing w:val="0"/>
          <w:sz w:val="21"/>
          <w:szCs w:val="21"/>
          <w:shd w:val="clear" w:fill="FFFFFF"/>
        </w:rPr>
        <w:t>-2招标文件规定的其他加分证明材料（若有）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若投标人可享受招标文件规定的除</w:t>
      </w:r>
      <w:r>
        <w:rPr>
          <w:rStyle w:val="11"/>
          <w:rFonts w:hint="eastAsia" w:ascii="宋体" w:hAnsi="宋体" w:eastAsia="宋体" w:cs="宋体"/>
          <w:b/>
          <w:bCs/>
          <w:i w:val="0"/>
          <w:iCs w:val="0"/>
          <w:caps w:val="0"/>
          <w:color w:val="auto"/>
          <w:spacing w:val="0"/>
          <w:sz w:val="21"/>
          <w:szCs w:val="21"/>
          <w:shd w:val="clear" w:fill="FFFFFF"/>
        </w:rPr>
        <w:t>“优先类节能产品、环境标志产品加分”</w:t>
      </w:r>
      <w:r>
        <w:rPr>
          <w:rFonts w:hint="eastAsia" w:ascii="宋体" w:hAnsi="宋体" w:eastAsia="宋体" w:cs="宋体"/>
          <w:i w:val="0"/>
          <w:iCs w:val="0"/>
          <w:caps w:val="0"/>
          <w:color w:val="auto"/>
          <w:spacing w:val="0"/>
          <w:sz w:val="21"/>
          <w:szCs w:val="21"/>
          <w:shd w:val="clear" w:fill="FFFFFF"/>
        </w:rPr>
        <w:t>外的其他加分优惠，则投标人应按照招标文件要求提供相应证明材料。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28"/>
          <w:szCs w:val="28"/>
          <w:shd w:val="clear" w:fill="FFFFFF"/>
        </w:rPr>
        <w:t>封面格式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48"/>
          <w:szCs w:val="48"/>
          <w:shd w:val="clear" w:fill="FFFFFF"/>
        </w:rPr>
        <w:t>福建省政府采购投标文件</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48"/>
          <w:szCs w:val="48"/>
          <w:shd w:val="clear" w:fill="FFFFFF"/>
        </w:rPr>
        <w:t>（技术商务部分）</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36"/>
          <w:szCs w:val="36"/>
          <w:u w:val="single"/>
          <w:shd w:val="clear" w:fill="FFFFFF"/>
        </w:rPr>
        <w:t>（填写正本或副本）</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项目名称：</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备案编号：</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项目编号：</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firstLine="1920"/>
        <w:rPr>
          <w:color w:val="auto"/>
        </w:rPr>
      </w:pPr>
      <w:r>
        <w:rPr>
          <w:rStyle w:val="11"/>
          <w:rFonts w:hint="eastAsia" w:ascii="宋体" w:hAnsi="宋体" w:eastAsia="宋体" w:cs="宋体"/>
          <w:b/>
          <w:bCs/>
          <w:i w:val="0"/>
          <w:iCs w:val="0"/>
          <w:caps w:val="0"/>
          <w:color w:val="auto"/>
          <w:spacing w:val="0"/>
          <w:sz w:val="31"/>
          <w:szCs w:val="31"/>
          <w:shd w:val="clear" w:fill="FFFFFF"/>
        </w:rPr>
        <w:t>所投采购包：</w:t>
      </w:r>
      <w:r>
        <w:rPr>
          <w:rStyle w:val="11"/>
          <w:rFonts w:hint="eastAsia" w:ascii="宋体" w:hAnsi="宋体" w:eastAsia="宋体" w:cs="宋体"/>
          <w:b/>
          <w:bCs/>
          <w:i w:val="0"/>
          <w:iCs w:val="0"/>
          <w:caps w:val="0"/>
          <w:color w:val="auto"/>
          <w:spacing w:val="0"/>
          <w:sz w:val="31"/>
          <w:szCs w:val="31"/>
          <w:u w:val="single"/>
          <w:shd w:val="clear" w:fill="FFFFFF"/>
        </w:rPr>
        <w:t>（由投标人填写）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36"/>
          <w:szCs w:val="36"/>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31"/>
          <w:szCs w:val="31"/>
          <w:shd w:val="clear" w:fill="FFFFFF"/>
        </w:rPr>
        <w:t>投标人：</w:t>
      </w:r>
      <w:r>
        <w:rPr>
          <w:rStyle w:val="11"/>
          <w:rFonts w:hint="eastAsia" w:ascii="宋体" w:hAnsi="宋体" w:eastAsia="宋体" w:cs="宋体"/>
          <w:b/>
          <w:bCs/>
          <w:i w:val="0"/>
          <w:iCs w:val="0"/>
          <w:caps w:val="0"/>
          <w:color w:val="auto"/>
          <w:spacing w:val="0"/>
          <w:sz w:val="31"/>
          <w:szCs w:val="31"/>
          <w:u w:val="single"/>
          <w:shd w:val="clear" w:fill="FFFFFF"/>
        </w:rPr>
        <w:t>（填写“全称”）</w:t>
      </w:r>
    </w:p>
    <w:p>
      <w:pPr>
        <w:pStyle w:val="8"/>
        <w:keepNext w:val="0"/>
        <w:keepLines w:val="0"/>
        <w:widowControl/>
        <w:suppressLineNumbers w:val="0"/>
        <w:spacing w:before="0" w:beforeAutospacing="0" w:after="150" w:afterAutospacing="0"/>
        <w:ind w:left="-362" w:right="-362"/>
        <w:jc w:val="center"/>
        <w:rPr>
          <w:color w:val="auto"/>
        </w:rPr>
      </w:pPr>
      <w:r>
        <w:rPr>
          <w:rStyle w:val="11"/>
          <w:rFonts w:hint="eastAsia" w:ascii="宋体" w:hAnsi="宋体" w:eastAsia="宋体" w:cs="宋体"/>
          <w:b/>
          <w:bCs/>
          <w:i w:val="0"/>
          <w:iCs w:val="0"/>
          <w:caps w:val="0"/>
          <w:color w:val="auto"/>
          <w:spacing w:val="0"/>
          <w:sz w:val="31"/>
          <w:szCs w:val="31"/>
          <w:u w:val="single"/>
          <w:shd w:val="clear" w:fill="FFFFFF"/>
        </w:rPr>
        <w:t>（由投标人填写）</w:t>
      </w:r>
      <w:r>
        <w:rPr>
          <w:rStyle w:val="11"/>
          <w:rFonts w:hint="eastAsia" w:ascii="宋体" w:hAnsi="宋体" w:eastAsia="宋体" w:cs="宋体"/>
          <w:b/>
          <w:bCs/>
          <w:i w:val="0"/>
          <w:iCs w:val="0"/>
          <w:caps w:val="0"/>
          <w:color w:val="auto"/>
          <w:spacing w:val="0"/>
          <w:sz w:val="31"/>
          <w:szCs w:val="31"/>
          <w:shd w:val="clear" w:fill="FFFFFF"/>
        </w:rPr>
        <w:t>年</w:t>
      </w:r>
      <w:r>
        <w:rPr>
          <w:rStyle w:val="11"/>
          <w:rFonts w:hint="eastAsia" w:ascii="宋体" w:hAnsi="宋体" w:eastAsia="宋体" w:cs="宋体"/>
          <w:b/>
          <w:bCs/>
          <w:i w:val="0"/>
          <w:iCs w:val="0"/>
          <w:caps w:val="0"/>
          <w:color w:val="auto"/>
          <w:spacing w:val="0"/>
          <w:sz w:val="31"/>
          <w:szCs w:val="31"/>
          <w:u w:val="single"/>
          <w:shd w:val="clear" w:fill="FFFFFF"/>
        </w:rPr>
        <w:t>（由投标人填写）</w:t>
      </w:r>
      <w:r>
        <w:rPr>
          <w:rStyle w:val="11"/>
          <w:rFonts w:hint="eastAsia" w:ascii="宋体" w:hAnsi="宋体" w:eastAsia="宋体" w:cs="宋体"/>
          <w:b/>
          <w:bCs/>
          <w:i w:val="0"/>
          <w:iCs w:val="0"/>
          <w:caps w:val="0"/>
          <w:color w:val="auto"/>
          <w:spacing w:val="0"/>
          <w:sz w:val="31"/>
          <w:szCs w:val="31"/>
          <w:shd w:val="clear" w:fill="FFFFFF"/>
        </w:rPr>
        <w:t>月</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8"/>
          <w:szCs w:val="28"/>
          <w:shd w:val="clear" w:fill="FFFFFF"/>
        </w:rPr>
        <w:t>索引</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一、标的说明一览表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二、技术和服务要求响应表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三、商务条件响应表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8"/>
          <w:szCs w:val="28"/>
          <w:shd w:val="clear" w:fill="FFFFFF"/>
        </w:rPr>
        <w:t>四、投标人提交的其他资料（若有）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技术商务部分中不得出现报价部分的全部或部分的投标报价信息（或组成资料），否则</w:t>
      </w:r>
      <w:r>
        <w:rPr>
          <w:rStyle w:val="11"/>
          <w:rFonts w:hint="eastAsia" w:ascii="宋体" w:hAnsi="宋体" w:eastAsia="宋体" w:cs="宋体"/>
          <w:b/>
          <w:bCs/>
          <w:i w:val="0"/>
          <w:iCs w:val="0"/>
          <w:caps w:val="0"/>
          <w:color w:val="auto"/>
          <w:spacing w:val="0"/>
          <w:sz w:val="21"/>
          <w:szCs w:val="21"/>
          <w:shd w:val="clear" w:fill="FFFFFF"/>
        </w:rPr>
        <w:t>符合性审查不合格</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一、标的说明一览表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项目编号：</w:t>
      </w:r>
      <w:r>
        <w:rPr>
          <w:rFonts w:hint="eastAsia" w:ascii="宋体" w:hAnsi="宋体" w:eastAsia="宋体" w:cs="宋体"/>
          <w:i w:val="0"/>
          <w:iCs w:val="0"/>
          <w:caps w:val="0"/>
          <w:color w:val="auto"/>
          <w:spacing w:val="0"/>
          <w:sz w:val="21"/>
          <w:szCs w:val="21"/>
          <w:u w:val="single"/>
          <w:shd w:val="clear" w:fill="FFFFFF"/>
        </w:rPr>
        <w:t>                   </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8"/>
        <w:gridCol w:w="854"/>
        <w:gridCol w:w="1691"/>
        <w:gridCol w:w="854"/>
        <w:gridCol w:w="1139"/>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规格（品牌/型号）</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1、本表应按照下列规定填写：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1.1“采购包”、“品目号”、“投标标的”及“数量”应与招标文件《采购标的一览表》中的有关内容（“采购包”、“品目号”、“采购标的”及“数量”）保持一致。</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1.2“投标标的”为货物的：</w:t>
      </w:r>
      <w:r>
        <w:rPr>
          <w:rStyle w:val="11"/>
          <w:rFonts w:hint="eastAsia" w:ascii="宋体" w:hAnsi="宋体" w:eastAsia="宋体" w:cs="宋体"/>
          <w:b/>
          <w:bCs/>
          <w:i w:val="0"/>
          <w:iCs w:val="0"/>
          <w:caps w:val="0"/>
          <w:color w:val="auto"/>
          <w:spacing w:val="0"/>
          <w:sz w:val="21"/>
          <w:szCs w:val="21"/>
          <w:shd w:val="clear" w:fill="FFFFFF"/>
        </w:rPr>
        <w:t>“规格”</w:t>
      </w:r>
      <w:r>
        <w:rPr>
          <w:rFonts w:hint="eastAsia" w:ascii="宋体" w:hAnsi="宋体" w:eastAsia="宋体" w:cs="宋体"/>
          <w:i w:val="0"/>
          <w:iCs w:val="0"/>
          <w:caps w:val="0"/>
          <w:color w:val="auto"/>
          <w:spacing w:val="0"/>
          <w:sz w:val="21"/>
          <w:szCs w:val="21"/>
          <w:shd w:val="clear" w:fill="FFFFFF"/>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b/>
          <w:bCs/>
          <w:i w:val="0"/>
          <w:iCs w:val="0"/>
          <w:caps w:val="0"/>
          <w:color w:val="auto"/>
          <w:spacing w:val="0"/>
          <w:sz w:val="21"/>
          <w:szCs w:val="21"/>
          <w:shd w:val="clear" w:fill="FFFFFF"/>
        </w:rPr>
        <w:t>“来源地”</w:t>
      </w:r>
      <w:r>
        <w:rPr>
          <w:rFonts w:hint="eastAsia" w:ascii="宋体" w:hAnsi="宋体" w:eastAsia="宋体" w:cs="宋体"/>
          <w:i w:val="0"/>
          <w:iCs w:val="0"/>
          <w:caps w:val="0"/>
          <w:color w:val="auto"/>
          <w:spacing w:val="0"/>
          <w:sz w:val="21"/>
          <w:szCs w:val="21"/>
          <w:shd w:val="clear" w:fill="FFFFFF"/>
        </w:rPr>
        <w:t>应填写货物的原产地。</w:t>
      </w:r>
      <w:r>
        <w:rPr>
          <w:rStyle w:val="11"/>
          <w:rFonts w:hint="eastAsia" w:ascii="宋体" w:hAnsi="宋体" w:eastAsia="宋体" w:cs="宋体"/>
          <w:b/>
          <w:bCs/>
          <w:i w:val="0"/>
          <w:iCs w:val="0"/>
          <w:caps w:val="0"/>
          <w:color w:val="auto"/>
          <w:spacing w:val="0"/>
          <w:sz w:val="21"/>
          <w:szCs w:val="21"/>
          <w:shd w:val="clear" w:fill="FFFFFF"/>
        </w:rPr>
        <w:t>“备注”</w:t>
      </w:r>
      <w:r>
        <w:rPr>
          <w:rFonts w:hint="eastAsia" w:ascii="宋体" w:hAnsi="宋体" w:eastAsia="宋体" w:cs="宋体"/>
          <w:i w:val="0"/>
          <w:iCs w:val="0"/>
          <w:caps w:val="0"/>
          <w:color w:val="auto"/>
          <w:spacing w:val="0"/>
          <w:sz w:val="21"/>
          <w:szCs w:val="21"/>
          <w:shd w:val="clear"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1.3“投标标的”为服务的：</w:t>
      </w:r>
      <w:r>
        <w:rPr>
          <w:rStyle w:val="11"/>
          <w:rFonts w:hint="eastAsia" w:ascii="宋体" w:hAnsi="宋体" w:eastAsia="宋体" w:cs="宋体"/>
          <w:b/>
          <w:bCs/>
          <w:i w:val="0"/>
          <w:iCs w:val="0"/>
          <w:caps w:val="0"/>
          <w:color w:val="auto"/>
          <w:spacing w:val="0"/>
          <w:sz w:val="21"/>
          <w:szCs w:val="21"/>
          <w:shd w:val="clear" w:fill="FFFFFF"/>
        </w:rPr>
        <w:t>“规格”</w:t>
      </w:r>
      <w:r>
        <w:rPr>
          <w:rFonts w:hint="eastAsia" w:ascii="宋体" w:hAnsi="宋体" w:eastAsia="宋体" w:cs="宋体"/>
          <w:i w:val="0"/>
          <w:iCs w:val="0"/>
          <w:caps w:val="0"/>
          <w:color w:val="auto"/>
          <w:spacing w:val="0"/>
          <w:sz w:val="21"/>
          <w:szCs w:val="21"/>
          <w:shd w:val="clear" w:fill="FFFFFF"/>
        </w:rPr>
        <w:t>项下应填写服务提供者提供的服务标准及品牌（若有）。</w:t>
      </w:r>
      <w:r>
        <w:rPr>
          <w:rStyle w:val="11"/>
          <w:rFonts w:hint="eastAsia" w:ascii="宋体" w:hAnsi="宋体" w:eastAsia="宋体" w:cs="宋体"/>
          <w:b/>
          <w:bCs/>
          <w:i w:val="0"/>
          <w:iCs w:val="0"/>
          <w:caps w:val="0"/>
          <w:color w:val="auto"/>
          <w:spacing w:val="0"/>
          <w:sz w:val="21"/>
          <w:szCs w:val="21"/>
          <w:shd w:val="clear" w:fill="FFFFFF"/>
        </w:rPr>
        <w:t>“来源地”</w:t>
      </w:r>
      <w:r>
        <w:rPr>
          <w:rFonts w:hint="eastAsia" w:ascii="宋体" w:hAnsi="宋体" w:eastAsia="宋体" w:cs="宋体"/>
          <w:i w:val="0"/>
          <w:iCs w:val="0"/>
          <w:caps w:val="0"/>
          <w:color w:val="auto"/>
          <w:spacing w:val="0"/>
          <w:sz w:val="21"/>
          <w:szCs w:val="21"/>
          <w:shd w:val="clear" w:fill="FFFFFF"/>
        </w:rPr>
        <w:t>应填写服务提供者的所在地。</w:t>
      </w:r>
      <w:r>
        <w:rPr>
          <w:rStyle w:val="11"/>
          <w:rFonts w:hint="eastAsia" w:ascii="宋体" w:hAnsi="宋体" w:eastAsia="宋体" w:cs="宋体"/>
          <w:b/>
          <w:bCs/>
          <w:i w:val="0"/>
          <w:iCs w:val="0"/>
          <w:caps w:val="0"/>
          <w:color w:val="auto"/>
          <w:spacing w:val="0"/>
          <w:sz w:val="21"/>
          <w:szCs w:val="21"/>
          <w:shd w:val="clear" w:fill="FFFFFF"/>
        </w:rPr>
        <w:t>“备注”</w:t>
      </w:r>
      <w:r>
        <w:rPr>
          <w:rFonts w:hint="eastAsia" w:ascii="宋体" w:hAnsi="宋体" w:eastAsia="宋体" w:cs="宋体"/>
          <w:i w:val="0"/>
          <w:iCs w:val="0"/>
          <w:caps w:val="0"/>
          <w:color w:val="auto"/>
          <w:spacing w:val="0"/>
          <w:sz w:val="21"/>
          <w:szCs w:val="21"/>
          <w:shd w:val="clear" w:fill="FFFFFF"/>
        </w:rPr>
        <w:t>项下应填写关于服务标准所涵盖的具体项目或内容的说明等。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2、投标人需要说明的内容若需特殊表达，应先在本表中进行相应说明，再另页应答，但应做好标注说明，方便评委查阅评审。未标注说明可能导致的不利的评审后果由投标人自行承担。</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3、投标文件中涉及</w:t>
      </w:r>
      <w:r>
        <w:rPr>
          <w:rStyle w:val="11"/>
          <w:rFonts w:hint="eastAsia" w:ascii="宋体" w:hAnsi="宋体" w:eastAsia="宋体" w:cs="宋体"/>
          <w:b/>
          <w:bCs/>
          <w:i w:val="0"/>
          <w:iCs w:val="0"/>
          <w:caps w:val="0"/>
          <w:color w:val="auto"/>
          <w:spacing w:val="0"/>
          <w:sz w:val="21"/>
          <w:szCs w:val="21"/>
          <w:shd w:val="clear" w:fill="FFFFFF"/>
        </w:rPr>
        <w:t>“投标标的”、“数量”、“规格”、“来源地”</w:t>
      </w:r>
      <w:r>
        <w:rPr>
          <w:rFonts w:hint="eastAsia" w:ascii="宋体" w:hAnsi="宋体" w:eastAsia="宋体" w:cs="宋体"/>
          <w:i w:val="0"/>
          <w:iCs w:val="0"/>
          <w:caps w:val="0"/>
          <w:color w:val="auto"/>
          <w:spacing w:val="0"/>
          <w:sz w:val="21"/>
          <w:szCs w:val="21"/>
          <w:shd w:val="clear" w:fill="FFFFFF"/>
        </w:rPr>
        <w:t>的内容若不一致，</w:t>
      </w:r>
      <w:r>
        <w:rPr>
          <w:rStyle w:val="11"/>
          <w:rFonts w:hint="eastAsia" w:ascii="宋体" w:hAnsi="宋体" w:eastAsia="宋体" w:cs="宋体"/>
          <w:b/>
          <w:bCs/>
          <w:i w:val="0"/>
          <w:iCs w:val="0"/>
          <w:caps w:val="0"/>
          <w:color w:val="auto"/>
          <w:spacing w:val="0"/>
          <w:sz w:val="21"/>
          <w:szCs w:val="21"/>
          <w:shd w:val="clear" w:fill="FFFFFF"/>
        </w:rPr>
        <w:t>应以本表为准</w:t>
      </w:r>
      <w:r>
        <w:rPr>
          <w:rFonts w:hint="eastAsia" w:ascii="宋体" w:hAnsi="宋体" w:eastAsia="宋体" w:cs="宋体"/>
          <w:i w:val="0"/>
          <w:iCs w:val="0"/>
          <w:caps w:val="0"/>
          <w:color w:val="auto"/>
          <w:spacing w:val="0"/>
          <w:sz w:val="21"/>
          <w:szCs w:val="21"/>
          <w:shd w:val="clear" w:fill="FFFFFF"/>
        </w:rPr>
        <w:t>。</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Style w:val="11"/>
          <w:rFonts w:hint="default" w:ascii="Calibri" w:hAnsi="Calibri" w:eastAsia="微软雅黑" w:cs="Calibri"/>
          <w:b/>
          <w:bCs/>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二、技术和服务要求响应表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项目编号：</w:t>
      </w:r>
      <w:r>
        <w:rPr>
          <w:rFonts w:hint="eastAsia" w:ascii="宋体" w:hAnsi="宋体" w:eastAsia="宋体" w:cs="宋体"/>
          <w:i w:val="0"/>
          <w:iCs w:val="0"/>
          <w:caps w:val="0"/>
          <w:color w:val="auto"/>
          <w:spacing w:val="0"/>
          <w:sz w:val="21"/>
          <w:szCs w:val="21"/>
          <w:u w:val="single"/>
          <w:shd w:val="clear" w:fill="FFFFFF"/>
        </w:rPr>
        <w:t>                   </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1、本表应按照下列规定填写：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1.1“技术和服务要求”项下填写的内容应与招标文件第五章“技术和服务要求”的内容保持一致。</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1.3“是否偏离及说明”项下应按下列规定填写：优于的，填写“正偏离”；符合的，填写“无偏离”；低于的，填写“负偏离”。</w:t>
      </w:r>
    </w:p>
    <w:p>
      <w:pPr>
        <w:pStyle w:val="8"/>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2、投标人需要说明的内容若需特殊表达，应先在本表中进行相应说明，再另页应答，但应做好标注说明，方便评委查阅评审。未标注说明可能导致的不利的评审后果由投标人自行承担。</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三、商务条件响应表</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项目编号：</w:t>
      </w:r>
      <w:r>
        <w:rPr>
          <w:rFonts w:hint="eastAsia" w:ascii="宋体" w:hAnsi="宋体" w:eastAsia="宋体" w:cs="宋体"/>
          <w:i w:val="0"/>
          <w:iCs w:val="0"/>
          <w:caps w:val="0"/>
          <w:color w:val="auto"/>
          <w:spacing w:val="0"/>
          <w:sz w:val="21"/>
          <w:szCs w:val="21"/>
          <w:u w:val="single"/>
          <w:shd w:val="clear" w:fill="FFFFFF"/>
        </w:rPr>
        <w:t>                   </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※注意：</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1、本表应按照下列规定填写：</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1.1“商务条件”项下填写的内容应与招标文件第五章“商务条件”的内容保持一致。</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1.2“投标响应”项下应填写具体的响应内容并与“商务条件”项下填写的内容逐项对应；对“商务条件”项下涉及“≥或＞”、“≤或＜”及某个区间值范围内的内容，应填写具体的数值。</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1.3“是否偏离及说明”项下应按下列规定填写：优于的，填写“正偏离”；符合的，填写“无偏离”；低于的，填写“负偏离”。</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2、投标人需要说明的内容若需特殊表达，应先在本表中进行相应说明，再另页应答，但应做好标注说明，方便评委查阅评审。未标注说明可能导致的不利的评审后果由投标人自行承担。</w:t>
      </w:r>
    </w:p>
    <w:p>
      <w:pPr>
        <w:pStyle w:val="8"/>
        <w:keepNext w:val="0"/>
        <w:keepLines w:val="0"/>
        <w:widowControl/>
        <w:suppressLineNumbers w:val="0"/>
        <w:spacing w:before="0" w:beforeAutospacing="0" w:after="150" w:afterAutospacing="0"/>
        <w:ind w:left="-362" w:right="-362"/>
        <w:rPr>
          <w:color w:val="auto"/>
        </w:rPr>
      </w:pP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24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rPr>
        <w:br w:type="textWrapping"/>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br w:type="textWrapping"/>
      </w:r>
      <w:r>
        <w:rPr>
          <w:rStyle w:val="11"/>
          <w:rFonts w:hint="eastAsia" w:ascii="宋体" w:hAnsi="宋体" w:eastAsia="宋体" w:cs="宋体"/>
          <w:b/>
          <w:bCs/>
          <w:i w:val="0"/>
          <w:iCs w:val="0"/>
          <w:caps w:val="0"/>
          <w:color w:val="auto"/>
          <w:spacing w:val="0"/>
          <w:sz w:val="21"/>
          <w:szCs w:val="21"/>
          <w:shd w:val="clear" w:fill="FFFFFF"/>
        </w:rPr>
        <w:t>四、投标人提交的其他资料（若有）</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1、招标文件要求提交的除</w:t>
      </w:r>
      <w:r>
        <w:rPr>
          <w:rStyle w:val="11"/>
          <w:rFonts w:hint="eastAsia" w:ascii="宋体" w:hAnsi="宋体" w:eastAsia="宋体" w:cs="宋体"/>
          <w:b/>
          <w:bCs/>
          <w:i w:val="0"/>
          <w:iCs w:val="0"/>
          <w:caps w:val="0"/>
          <w:color w:val="auto"/>
          <w:spacing w:val="0"/>
          <w:sz w:val="21"/>
          <w:szCs w:val="21"/>
          <w:shd w:val="clear" w:fill="FFFFFF"/>
        </w:rPr>
        <w:t>“资格及资信证明部分”、“报价部分”</w:t>
      </w:r>
      <w:r>
        <w:rPr>
          <w:rFonts w:hint="eastAsia" w:ascii="宋体" w:hAnsi="宋体" w:eastAsia="宋体" w:cs="宋体"/>
          <w:i w:val="0"/>
          <w:iCs w:val="0"/>
          <w:caps w:val="0"/>
          <w:color w:val="auto"/>
          <w:spacing w:val="0"/>
          <w:sz w:val="21"/>
          <w:szCs w:val="21"/>
          <w:shd w:val="clear" w:fill="FFFFFF"/>
        </w:rPr>
        <w:t>外的其他证明材料或资料加盖投标人的单位公章后应在此项下提交。</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2、招标文件要求投标人提供方案（包括但不限于：组织、实施、技术、服务方案等）的，投标人应在此项下提交。</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3、除招标文件另有规定外，投标人认为需要提交的其他证明材料或资料加盖投标人的单位公章后应在此项下提交。</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iCs w:val="0"/>
          <w:caps w:val="0"/>
          <w:color w:val="auto"/>
          <w:spacing w:val="0"/>
          <w:sz w:val="21"/>
          <w:szCs w:val="21"/>
          <w:shd w:val="clear" w:fill="FFFFFF"/>
        </w:rPr>
        <w:t> </w:t>
      </w:r>
    </w:p>
    <w:p>
      <w:pPr>
        <w:pStyle w:val="8"/>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iCs w:val="0"/>
          <w:caps w:val="0"/>
          <w:color w:val="auto"/>
          <w:spacing w:val="0"/>
          <w:sz w:val="21"/>
          <w:szCs w:val="21"/>
          <w:shd w:val="clear" w:fill="FFFFFF"/>
        </w:rPr>
        <w:t> </w:t>
      </w:r>
    </w:p>
    <w:p>
      <w:pPr>
        <w:pStyle w:val="2"/>
        <w:keepNext w:val="0"/>
        <w:keepLines w:val="0"/>
        <w:widowControl/>
        <w:suppressLineNumbers w:val="0"/>
        <w:spacing w:before="300" w:beforeAutospacing="0" w:after="150" w:afterAutospacing="0" w:line="17" w:lineRule="atLeast"/>
        <w:ind w:left="-362" w:right="-362"/>
        <w:rPr>
          <w:rFonts w:hint="default" w:ascii="Helvetica" w:hAnsi="Helvetica" w:eastAsia="Helvetica" w:cs="Helvetica"/>
          <w:b w:val="0"/>
          <w:bCs w:val="0"/>
          <w:color w:val="auto"/>
          <w:sz w:val="33"/>
          <w:szCs w:val="33"/>
        </w:rPr>
      </w:pPr>
      <w:r>
        <w:rPr>
          <w:rFonts w:hint="default" w:ascii="Helvetica" w:hAnsi="Helvetica" w:eastAsia="Helvetica" w:cs="Helvetica"/>
          <w:b w:val="0"/>
          <w:bCs w:val="0"/>
          <w:i w:val="0"/>
          <w:iCs w:val="0"/>
          <w:caps w:val="0"/>
          <w:color w:val="auto"/>
          <w:spacing w:val="0"/>
          <w:sz w:val="33"/>
          <w:szCs w:val="33"/>
          <w:shd w:val="clear" w:fill="FFFFFF"/>
        </w:rPr>
        <w:t>采购文件相关附件</w:t>
      </w:r>
    </w:p>
    <w:p>
      <w:pPr>
        <w:keepNext w:val="0"/>
        <w:keepLines w:val="0"/>
        <w:widowControl/>
        <w:numPr>
          <w:ilvl w:val="0"/>
          <w:numId w:val="1"/>
        </w:numPr>
        <w:suppressLineNumbers w:val="0"/>
        <w:spacing w:before="0" w:beforeAutospacing="0" w:after="0" w:afterAutospacing="0"/>
        <w:ind w:left="16" w:right="-362" w:hanging="360"/>
        <w:rPr>
          <w:color w:val="auto"/>
        </w:rPr>
      </w:pPr>
      <w:r>
        <w:rPr>
          <w:rFonts w:hint="eastAsia" w:ascii="微软雅黑" w:hAnsi="微软雅黑" w:eastAsia="微软雅黑" w:cs="微软雅黑"/>
          <w:i w:val="0"/>
          <w:iCs w:val="0"/>
          <w:caps w:val="0"/>
          <w:color w:val="auto"/>
          <w:spacing w:val="0"/>
          <w:sz w:val="19"/>
          <w:szCs w:val="19"/>
          <w:u w:val="none"/>
          <w:shd w:val="clear" w:fill="FFFFFF"/>
        </w:rPr>
        <w:fldChar w:fldCharType="begin"/>
      </w:r>
      <w:r>
        <w:rPr>
          <w:rFonts w:hint="eastAsia" w:ascii="微软雅黑" w:hAnsi="微软雅黑" w:eastAsia="微软雅黑" w:cs="微软雅黑"/>
          <w:i w:val="0"/>
          <w:iCs w:val="0"/>
          <w:caps w:val="0"/>
          <w:color w:val="auto"/>
          <w:spacing w:val="0"/>
          <w:sz w:val="19"/>
          <w:szCs w:val="19"/>
          <w:u w:val="none"/>
          <w:shd w:val="clear" w:fill="FFFFFF"/>
        </w:rPr>
        <w:instrText xml:space="preserve"> HYPERLINK "http://zfcg.czj.ningde.gov.cn/gpms/ExpertChange/downloadShare?id=ce98a870abd8423aadadc2b736449859" </w:instrText>
      </w:r>
      <w:r>
        <w:rPr>
          <w:rFonts w:hint="eastAsia" w:ascii="微软雅黑" w:hAnsi="微软雅黑" w:eastAsia="微软雅黑" w:cs="微软雅黑"/>
          <w:i w:val="0"/>
          <w:iCs w:val="0"/>
          <w:caps w:val="0"/>
          <w:color w:val="auto"/>
          <w:spacing w:val="0"/>
          <w:sz w:val="19"/>
          <w:szCs w:val="19"/>
          <w:u w:val="none"/>
          <w:shd w:val="clear" w:fill="FFFFFF"/>
        </w:rPr>
        <w:fldChar w:fldCharType="separate"/>
      </w:r>
      <w:r>
        <w:rPr>
          <w:rStyle w:val="12"/>
          <w:rFonts w:hint="eastAsia" w:ascii="微软雅黑" w:hAnsi="微软雅黑" w:eastAsia="微软雅黑" w:cs="微软雅黑"/>
          <w:i w:val="0"/>
          <w:iCs w:val="0"/>
          <w:caps w:val="0"/>
          <w:color w:val="auto"/>
          <w:spacing w:val="0"/>
          <w:sz w:val="19"/>
          <w:szCs w:val="19"/>
          <w:u w:val="none"/>
          <w:shd w:val="clear" w:fill="FFFFFF"/>
        </w:rPr>
        <w:t>附件.rar</w:t>
      </w:r>
      <w:r>
        <w:rPr>
          <w:rFonts w:hint="eastAsia" w:ascii="微软雅黑" w:hAnsi="微软雅黑" w:eastAsia="微软雅黑" w:cs="微软雅黑"/>
          <w:i w:val="0"/>
          <w:iCs w:val="0"/>
          <w:caps w:val="0"/>
          <w:color w:val="auto"/>
          <w:spacing w:val="0"/>
          <w:sz w:val="19"/>
          <w:szCs w:val="19"/>
          <w:u w:val="none"/>
          <w:shd w:val="clear" w:fill="FFFFFF"/>
        </w:rPr>
        <w:fldChar w:fldCharType="end"/>
      </w:r>
    </w:p>
    <w:p>
      <w:pPr>
        <w:keepNext w:val="0"/>
        <w:keepLines w:val="0"/>
        <w:widowControl/>
        <w:suppressLineNumbers w:val="0"/>
        <w:spacing w:before="0" w:beforeAutospacing="0" w:after="0" w:afterAutospacing="0"/>
        <w:ind w:left="-362" w:right="-362"/>
        <w:jc w:val="left"/>
        <w:rPr>
          <w:color w:val="auto"/>
        </w:rPr>
      </w:pPr>
      <w:r>
        <w:rPr>
          <w:rFonts w:hint="default" w:ascii="Calibri" w:hAnsi="Calibri" w:eastAsia="微软雅黑" w:cs="Calibri"/>
          <w:i w:val="0"/>
          <w:iCs w:val="0"/>
          <w:caps w:val="0"/>
          <w:color w:val="auto"/>
          <w:spacing w:val="0"/>
          <w:kern w:val="0"/>
          <w:sz w:val="21"/>
          <w:szCs w:val="21"/>
          <w:shd w:val="clear" w:fill="FFFFFF"/>
          <w:lang w:val="en-US" w:eastAsia="zh-CN" w:bidi="ar"/>
        </w:rPr>
        <w:t> </w:t>
      </w:r>
    </w:p>
    <w:p>
      <w:pPr>
        <w:keepNext w:val="0"/>
        <w:keepLines w:val="0"/>
        <w:widowControl/>
        <w:suppressLineNumbers w:val="0"/>
        <w:spacing w:before="0" w:beforeAutospacing="0" w:after="0" w:afterAutospacing="0"/>
        <w:ind w:left="-362" w:right="-362"/>
        <w:jc w:val="left"/>
        <w:rPr>
          <w:color w:val="auto"/>
        </w:rPr>
      </w:pPr>
    </w:p>
    <w:sectPr>
      <w:footerReference r:id="rId3" w:type="default"/>
      <w:pgSz w:w="11906" w:h="16838"/>
      <w:pgMar w:top="1440" w:right="1706"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A5566"/>
    <w:multiLevelType w:val="multilevel"/>
    <w:tmpl w:val="3BFA556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NGQ2NWY1NGI4MjJjOGU1NDllNzBmYmFlZWNhN2IifQ=="/>
  </w:docVars>
  <w:rsids>
    <w:rsidRoot w:val="00000000"/>
    <w:rsid w:val="10A433BF"/>
    <w:rsid w:val="2FDF2371"/>
    <w:rsid w:val="3FDD68C7"/>
    <w:rsid w:val="5EDE2C37"/>
    <w:rsid w:val="732857F3"/>
    <w:rsid w:val="74627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233</Pages>
  <Words>131025</Words>
  <Characters>154635</Characters>
  <Lines>0</Lines>
  <Paragraphs>0</Paragraphs>
  <TotalTime>30</TotalTime>
  <ScaleCrop>false</ScaleCrop>
  <LinksUpToDate>false</LinksUpToDate>
  <CharactersWithSpaces>157671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2022-06-01T05:07:00Z</dcterms:created>
  <dc:creator>Administrator</dc:creator>
  <cp:lastModifiedBy>Me_ l o</cp:lastModifiedBy>
  <dcterms:modified xsi:type="dcterms:W3CDTF">2022-06-01T11:03:32Z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F637302CFED6427AAE8D282FC011C71E</vt:lpwstr>
  </property>
</Properties>
</file>